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FC107" w14:textId="205FA98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FC562E">
        <w:rPr>
          <w:rFonts w:cs="Arial"/>
          <w:sz w:val="24"/>
          <w:szCs w:val="24"/>
        </w:rPr>
        <w:t>6bis</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C562E">
        <w:rPr>
          <w:rFonts w:cs="Arial"/>
          <w:sz w:val="24"/>
          <w:szCs w:val="24"/>
          <w:lang w:val="en-US"/>
        </w:rPr>
        <w:t>51</w:t>
      </w:r>
      <w:r w:rsidR="00AB67CB">
        <w:rPr>
          <w:rFonts w:cs="Arial"/>
          <w:sz w:val="24"/>
          <w:szCs w:val="24"/>
          <w:lang w:val="en-US"/>
        </w:rPr>
        <w:t>3567</w:t>
      </w:r>
    </w:p>
    <w:p w14:paraId="172D00FD" w14:textId="77777777" w:rsidR="00985FDF" w:rsidRPr="0052514D" w:rsidRDefault="00FC562E"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00985FDF" w:rsidRPr="0052514D">
        <w:rPr>
          <w:rFonts w:eastAsia="宋体" w:cs="Arial"/>
          <w:sz w:val="24"/>
          <w:szCs w:val="24"/>
          <w:lang w:eastAsia="zh-CN"/>
        </w:rPr>
        <w:t>,</w:t>
      </w:r>
      <w:r>
        <w:rPr>
          <w:rFonts w:eastAsia="宋体" w:cs="Arial"/>
          <w:sz w:val="24"/>
          <w:szCs w:val="24"/>
          <w:lang w:eastAsia="zh-CN"/>
        </w:rPr>
        <w:t xml:space="preserve"> CZ,</w:t>
      </w:r>
      <w:r w:rsidR="00985FDF" w:rsidRPr="0052514D">
        <w:rPr>
          <w:rFonts w:eastAsia="宋体" w:cs="Arial"/>
          <w:sz w:val="24"/>
          <w:szCs w:val="24"/>
          <w:lang w:eastAsia="zh-CN"/>
        </w:rPr>
        <w:t xml:space="preserve">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Octobor</w:t>
      </w:r>
      <w:r w:rsidR="00985FDF" w:rsidRPr="0052514D">
        <w:rPr>
          <w:rFonts w:eastAsia="宋体" w:cs="Arial"/>
          <w:sz w:val="24"/>
          <w:szCs w:val="24"/>
          <w:lang w:eastAsia="zh-CN"/>
        </w:rPr>
        <w:t>, 202</w:t>
      </w:r>
      <w:r>
        <w:rPr>
          <w:rFonts w:eastAsia="宋体" w:cs="Arial"/>
          <w:sz w:val="24"/>
          <w:szCs w:val="24"/>
          <w:lang w:eastAsia="zh-CN"/>
        </w:rPr>
        <w:t>5</w:t>
      </w:r>
    </w:p>
    <w:p w14:paraId="348B9C6A" w14:textId="77777777" w:rsidR="001F5D6A" w:rsidRPr="00275694" w:rsidRDefault="001F5D6A" w:rsidP="00615E2A">
      <w:pPr>
        <w:rPr>
          <w:rFonts w:eastAsia="宋体"/>
          <w:lang w:eastAsia="zh-CN"/>
        </w:rPr>
      </w:pPr>
    </w:p>
    <w:p w14:paraId="6AFC525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CEED606"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1EAF">
        <w:rPr>
          <w:rFonts w:ascii="Arial" w:hAnsi="Arial" w:cs="Arial"/>
          <w:sz w:val="22"/>
        </w:rPr>
        <w:t xml:space="preserve">Initial views on </w:t>
      </w:r>
      <w:r w:rsidR="001A10DB">
        <w:rPr>
          <w:rFonts w:ascii="Arial" w:hAnsi="Arial" w:cs="Arial"/>
          <w:sz w:val="22"/>
        </w:rPr>
        <w:t xml:space="preserve">HPUE </w:t>
      </w:r>
      <w:r w:rsidR="001A10DB" w:rsidRPr="001A10DB">
        <w:rPr>
          <w:rFonts w:ascii="Arial" w:hAnsi="Arial" w:cs="Arial" w:hint="eastAsia"/>
          <w:sz w:val="22"/>
        </w:rPr>
        <w:t>for</w:t>
      </w:r>
      <w:r w:rsidR="001A10DB">
        <w:rPr>
          <w:rFonts w:ascii="Arial" w:hAnsi="Arial" w:cs="Arial"/>
          <w:sz w:val="22"/>
        </w:rPr>
        <w:t xml:space="preserve"> </w:t>
      </w:r>
      <w:r w:rsidR="001A10DB" w:rsidRPr="001A10DB">
        <w:rPr>
          <w:rFonts w:ascii="Arial" w:hAnsi="Arial" w:cs="Arial" w:hint="eastAsia"/>
          <w:sz w:val="22"/>
        </w:rPr>
        <w:t>NR</w:t>
      </w:r>
      <w:r w:rsidR="001A10DB">
        <w:rPr>
          <w:rFonts w:ascii="Arial" w:hAnsi="Arial" w:cs="Arial"/>
          <w:sz w:val="22"/>
        </w:rPr>
        <w:t xml:space="preserve"> </w:t>
      </w:r>
      <w:r w:rsidR="001A10DB" w:rsidRPr="001A10DB">
        <w:rPr>
          <w:rFonts w:ascii="Arial" w:hAnsi="Arial" w:cs="Arial" w:hint="eastAsia"/>
          <w:sz w:val="22"/>
        </w:rPr>
        <w:t>single</w:t>
      </w:r>
      <w:r w:rsidR="001A10DB">
        <w:rPr>
          <w:rFonts w:ascii="Arial" w:hAnsi="Arial" w:cs="Arial"/>
          <w:sz w:val="22"/>
        </w:rPr>
        <w:t xml:space="preserve"> </w:t>
      </w:r>
      <w:r w:rsidR="001A10DB" w:rsidRPr="001A10DB">
        <w:rPr>
          <w:rFonts w:ascii="Arial" w:hAnsi="Arial" w:cs="Arial" w:hint="eastAsia"/>
          <w:sz w:val="22"/>
        </w:rPr>
        <w:t>carrier</w:t>
      </w:r>
      <w:r w:rsidR="001A10DB">
        <w:rPr>
          <w:rFonts w:ascii="Arial" w:hAnsi="Arial" w:cs="Arial"/>
          <w:sz w:val="22"/>
        </w:rPr>
        <w:t xml:space="preserve"> </w:t>
      </w:r>
      <w:r w:rsidR="001A10DB" w:rsidRPr="001A10DB">
        <w:rPr>
          <w:rFonts w:ascii="Arial" w:hAnsi="Arial" w:cs="Arial" w:hint="eastAsia"/>
          <w:sz w:val="22"/>
        </w:rPr>
        <w:t>operation</w:t>
      </w:r>
    </w:p>
    <w:p w14:paraId="219593E6"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D4978">
        <w:rPr>
          <w:rFonts w:ascii="Arial" w:hAnsi="Arial" w:cs="Arial"/>
          <w:sz w:val="22"/>
          <w:lang w:val="en-US"/>
        </w:rPr>
        <w:t>7.1.4</w:t>
      </w:r>
    </w:p>
    <w:p w14:paraId="0257B1C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94CD7BE" w14:textId="77777777" w:rsidR="00FC0076" w:rsidRDefault="00E52C47" w:rsidP="004065E5">
      <w:pPr>
        <w:pStyle w:val="1"/>
        <w:rPr>
          <w:rFonts w:eastAsia="宋体"/>
          <w:lang w:eastAsia="zh-CN"/>
        </w:rPr>
      </w:pPr>
      <w:r>
        <w:rPr>
          <w:rFonts w:eastAsia="宋体" w:hint="eastAsia"/>
          <w:lang w:eastAsia="zh-CN"/>
        </w:rPr>
        <w:t>Introduction</w:t>
      </w:r>
    </w:p>
    <w:p w14:paraId="13FD7ECD" w14:textId="77777777" w:rsidR="007223D0" w:rsidRPr="00CD1BB9" w:rsidRDefault="009957C0" w:rsidP="008E52C4">
      <w:pPr>
        <w:jc w:val="both"/>
        <w:rPr>
          <w:rFonts w:eastAsia="等线"/>
          <w:lang w:eastAsia="zh-CN"/>
        </w:rPr>
      </w:pPr>
      <w:r>
        <w:rPr>
          <w:rFonts w:eastAsia="等线"/>
          <w:lang w:eastAsia="zh-CN"/>
        </w:rPr>
        <w:t>In RAN#109, a new WID for UE RF enhancements for NR FR1 for Phase 5 was approved [1].</w:t>
      </w:r>
      <w:r w:rsidR="00934729">
        <w:rPr>
          <w:rFonts w:eastAsia="等线"/>
          <w:lang w:eastAsia="zh-CN"/>
        </w:rPr>
        <w:t xml:space="preserve"> One </w:t>
      </w:r>
      <w:r w:rsidR="008E52C4">
        <w:rPr>
          <w:rFonts w:eastAsia="等线"/>
          <w:lang w:eastAsia="zh-CN"/>
        </w:rPr>
        <w:t xml:space="preserve">objective is to introduce HPUE for single carrier operation, i.e. single carrier TDD to support 4Tx for CPE/FWA UE, PC1.5 </w:t>
      </w:r>
      <w:r w:rsidR="008E52C4">
        <w:rPr>
          <w:rFonts w:eastAsia="等线" w:hint="eastAsia"/>
          <w:lang w:eastAsia="zh-CN"/>
        </w:rPr>
        <w:t>with</w:t>
      </w:r>
      <w:r w:rsidR="008E52C4">
        <w:rPr>
          <w:rFonts w:eastAsia="等线"/>
          <w:lang w:eastAsia="zh-CN"/>
        </w:rPr>
        <w:t xml:space="preserve"> 2</w:t>
      </w:r>
      <w:r w:rsidR="008E52C4">
        <w:rPr>
          <w:rFonts w:eastAsia="等线" w:hint="eastAsia"/>
          <w:lang w:eastAsia="zh-CN"/>
        </w:rPr>
        <w:t>T</w:t>
      </w:r>
      <w:r w:rsidR="008E52C4">
        <w:rPr>
          <w:rFonts w:eastAsia="等线"/>
          <w:lang w:eastAsia="zh-CN"/>
        </w:rPr>
        <w:t>x for FDD bands for handheld and FWA UE. In this contribution, we provide our initial views on these two HPUE topics.</w:t>
      </w:r>
    </w:p>
    <w:p w14:paraId="7EF642BB" w14:textId="77777777" w:rsidR="00703A03" w:rsidRDefault="00853ECB" w:rsidP="00703A03">
      <w:pPr>
        <w:pStyle w:val="1"/>
        <w:rPr>
          <w:rFonts w:eastAsia="宋体"/>
          <w:lang w:eastAsia="zh-CN"/>
        </w:rPr>
      </w:pPr>
      <w:r>
        <w:rPr>
          <w:rFonts w:eastAsia="宋体" w:hint="eastAsia"/>
          <w:lang w:eastAsia="zh-CN"/>
        </w:rPr>
        <w:t>Discussion</w:t>
      </w:r>
    </w:p>
    <w:p w14:paraId="486AEBFB" w14:textId="77777777" w:rsidR="00211EAF" w:rsidRDefault="001A10DB" w:rsidP="00211EAF">
      <w:pPr>
        <w:pStyle w:val="2"/>
        <w:spacing w:after="240"/>
        <w:rPr>
          <w:lang w:eastAsia="zh-CN"/>
        </w:rPr>
      </w:pPr>
      <w:r>
        <w:rPr>
          <w:lang w:eastAsia="zh-CN"/>
        </w:rPr>
        <w:t>S</w:t>
      </w:r>
      <w:r w:rsidRPr="001A10DB">
        <w:rPr>
          <w:lang w:eastAsia="zh-CN"/>
        </w:rPr>
        <w:t>ingle carrier TDD to support 4Tx for CPE/FWA UE with 4x26dBm PA configurations</w:t>
      </w:r>
    </w:p>
    <w:p w14:paraId="48EBD353" w14:textId="77777777" w:rsidR="00042D93" w:rsidRPr="00042D93" w:rsidRDefault="00042D93" w:rsidP="00042D93">
      <w:pPr>
        <w:rPr>
          <w:lang w:eastAsia="zh-CN"/>
        </w:rPr>
      </w:pPr>
      <w:r>
        <w:rPr>
          <w:lang w:eastAsia="zh-CN"/>
        </w:rPr>
        <w:t>The objective for single carrier TDD to support 4Tx for CPE/FWA is captured as follows:</w:t>
      </w:r>
    </w:p>
    <w:tbl>
      <w:tblPr>
        <w:tblStyle w:val="aff0"/>
        <w:tblW w:w="0" w:type="auto"/>
        <w:tblLook w:val="04A0" w:firstRow="1" w:lastRow="0" w:firstColumn="1" w:lastColumn="0" w:noHBand="0" w:noVBand="1"/>
      </w:tblPr>
      <w:tblGrid>
        <w:gridCol w:w="9631"/>
      </w:tblGrid>
      <w:tr w:rsidR="009A09D2" w14:paraId="58CB44E5" w14:textId="77777777" w:rsidTr="009A09D2">
        <w:tc>
          <w:tcPr>
            <w:tcW w:w="9631" w:type="dxa"/>
          </w:tcPr>
          <w:p w14:paraId="1A16FA83" w14:textId="77777777" w:rsidR="009A09D2" w:rsidRPr="009A09D2" w:rsidRDefault="009A09D2" w:rsidP="009A09D2">
            <w:pPr>
              <w:widowControl w:val="0"/>
              <w:numPr>
                <w:ilvl w:val="0"/>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UE RF requirements for single carrier TDD to support 4Tx for CPE/FWA UE with 4x26dBm PA configurations</w:t>
            </w:r>
          </w:p>
          <w:p w14:paraId="7E952184" w14:textId="77777777"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 xml:space="preserve">Co-existence study </w:t>
            </w:r>
            <w:r w:rsidRPr="009A09D2">
              <w:rPr>
                <w:rFonts w:eastAsia="等线"/>
                <w:kern w:val="2"/>
                <w:lang w:val="en-US" w:eastAsia="zh-CN"/>
              </w:rPr>
              <w:t>for ACLR, specify ACLR requirements if needed</w:t>
            </w:r>
          </w:p>
          <w:p w14:paraId="3A33D26B" w14:textId="77777777"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UE RF requirements including maximum output power (MOP), MPR requirements, etc.</w:t>
            </w:r>
          </w:p>
          <w:p w14:paraId="711C2A4F" w14:textId="77777777" w:rsidR="009A09D2" w:rsidRPr="00B8013F" w:rsidRDefault="009A09D2" w:rsidP="009A09D2">
            <w:pPr>
              <w:widowControl w:val="0"/>
              <w:numPr>
                <w:ilvl w:val="2"/>
                <w:numId w:val="24"/>
              </w:numPr>
              <w:overflowPunct/>
              <w:autoSpaceDE/>
              <w:autoSpaceDN/>
              <w:adjustRightInd/>
              <w:spacing w:after="0"/>
              <w:jc w:val="both"/>
              <w:textAlignment w:val="auto"/>
              <w:rPr>
                <w:rFonts w:eastAsia="Yu Mincho"/>
                <w:kern w:val="2"/>
                <w:lang w:val="en-US" w:eastAsia="zh-CN"/>
              </w:rPr>
            </w:pPr>
            <w:r w:rsidRPr="00B8013F">
              <w:rPr>
                <w:rFonts w:eastAsia="Yu Mincho"/>
                <w:kern w:val="2"/>
                <w:lang w:val="en-US" w:eastAsia="zh-CN"/>
              </w:rPr>
              <w:t xml:space="preserve">Supporting 4x4 UL MIMO and </w:t>
            </w:r>
            <w:proofErr w:type="spellStart"/>
            <w:r w:rsidRPr="00B8013F">
              <w:rPr>
                <w:rFonts w:eastAsia="Yu Mincho"/>
                <w:kern w:val="2"/>
                <w:lang w:val="en-US" w:eastAsia="zh-CN"/>
              </w:rPr>
              <w:t>TxD</w:t>
            </w:r>
            <w:proofErr w:type="spellEnd"/>
          </w:p>
          <w:p w14:paraId="609017ED" w14:textId="77777777"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band specific requirements for exemplary bands</w:t>
            </w:r>
          </w:p>
          <w:p w14:paraId="12F2C96D" w14:textId="77777777" w:rsidR="009A09D2" w:rsidRPr="009A09D2" w:rsidRDefault="009A09D2" w:rsidP="009A09D2">
            <w:pPr>
              <w:widowControl w:val="0"/>
              <w:numPr>
                <w:ilvl w:val="2"/>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Example bands: n41, n77/n78, n79, n104</w:t>
            </w:r>
          </w:p>
          <w:p w14:paraId="07260469" w14:textId="77777777"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等线"/>
                <w:kern w:val="2"/>
                <w:lang w:val="en-US" w:eastAsia="zh-CN"/>
              </w:rPr>
              <w:t>Maximum output power is up to 32 dBm</w:t>
            </w:r>
          </w:p>
          <w:p w14:paraId="5883F142" w14:textId="77777777" w:rsidR="009A09D2" w:rsidRPr="00042D93" w:rsidRDefault="009A09D2" w:rsidP="001A10DB">
            <w:pPr>
              <w:widowControl w:val="0"/>
              <w:numPr>
                <w:ilvl w:val="2"/>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RAN4 to determine whether to reuse PC1 or introduce new power class</w:t>
            </w:r>
          </w:p>
        </w:tc>
      </w:tr>
    </w:tbl>
    <w:p w14:paraId="091EEFD1" w14:textId="77777777" w:rsidR="00316D22" w:rsidRPr="0048766D" w:rsidRDefault="00316D22" w:rsidP="00B3792B">
      <w:pPr>
        <w:spacing w:before="100" w:beforeAutospacing="1"/>
        <w:jc w:val="both"/>
        <w:rPr>
          <w:rFonts w:eastAsia="宋体"/>
          <w:lang w:val="en-US" w:eastAsia="zh-CN"/>
        </w:rPr>
      </w:pPr>
      <w:r w:rsidRPr="0048766D">
        <w:rPr>
          <w:rFonts w:eastAsia="宋体"/>
          <w:lang w:val="en-US" w:eastAsia="zh-CN"/>
        </w:rPr>
        <w:t>The 3GPP standardization effort is considering defining a maximum transmitter output power level of 32 dBm. Two primary technical approaches have been identified: one way is to reuse PC1 and another is to define a new power class.</w:t>
      </w:r>
    </w:p>
    <w:p w14:paraId="02E2EA9D" w14:textId="77777777" w:rsidR="00316D22" w:rsidRPr="0048766D" w:rsidRDefault="00316D22" w:rsidP="00316D22">
      <w:pPr>
        <w:jc w:val="both"/>
        <w:rPr>
          <w:rFonts w:eastAsia="宋体"/>
          <w:lang w:val="en-US" w:eastAsia="zh-CN"/>
        </w:rPr>
      </w:pPr>
      <w:r w:rsidRPr="0048766D">
        <w:rPr>
          <w:rFonts w:eastAsia="宋体"/>
          <w:lang w:val="en-US" w:eastAsia="zh-CN"/>
        </w:rPr>
        <w:t>From our perspective, we prefer to reuse PC1 instead of introducing a new power class in Rel-20. Usually, PC1 is often associated with a nominal max of 31 dBm with +2/-3 dB tolerance. Actually, it is 33 dBm with +2dB tolerance, which can support up to 32 dBm maximum output power. However, strictly speaking, power tolerance cannot always guarantee the maximum output power 32dBm, e.g. when the tolerance is -3dB. It is OK for us just reusing current PC1 definition.</w:t>
      </w:r>
    </w:p>
    <w:p w14:paraId="564F39AA" w14:textId="77777777" w:rsidR="00316D22" w:rsidRPr="0048766D" w:rsidRDefault="00316D22" w:rsidP="00316D22">
      <w:pPr>
        <w:jc w:val="both"/>
        <w:rPr>
          <w:rFonts w:eastAsia="宋体"/>
          <w:lang w:val="en-US" w:eastAsia="zh-CN"/>
        </w:rPr>
      </w:pPr>
      <w:r w:rsidRPr="0048766D">
        <w:rPr>
          <w:rFonts w:eastAsia="宋体"/>
          <w:lang w:val="en-US" w:eastAsia="zh-CN"/>
        </w:rPr>
        <w:t>If we define the maximum output power up to 32dB without considering tolerance, the general power booting scheme with 1dB can be considered with PC1 definition. Power boosting scheme was widely specified in current TN and NTN specifications. It allows UE to transmit at a slightly higher output power than its baseline power class (e.g., +1dB above PC1’s nominal maximum) under specific conditions.</w:t>
      </w:r>
    </w:p>
    <w:p w14:paraId="3864042E" w14:textId="57F365CB" w:rsidR="00316D22" w:rsidRPr="0048766D" w:rsidRDefault="00316D22" w:rsidP="00316D22">
      <w:pPr>
        <w:jc w:val="both"/>
        <w:rPr>
          <w:rFonts w:eastAsia="宋体"/>
          <w:lang w:val="en-US" w:eastAsia="zh-CN"/>
        </w:rPr>
      </w:pPr>
      <w:r w:rsidRPr="0048766D">
        <w:rPr>
          <w:rFonts w:eastAsia="宋体"/>
          <w:lang w:val="en-US" w:eastAsia="zh-CN"/>
        </w:rPr>
        <w:t xml:space="preserve">From our perspective, reusing PC1 has the minimal standard impact </w:t>
      </w:r>
      <w:r w:rsidR="005B74C0">
        <w:rPr>
          <w:rFonts w:eastAsia="宋体"/>
          <w:lang w:val="en-US" w:eastAsia="zh-CN"/>
        </w:rPr>
        <w:t>compared to the way of introducing new power class</w:t>
      </w:r>
      <w:r w:rsidRPr="0048766D">
        <w:rPr>
          <w:rFonts w:eastAsia="宋体"/>
          <w:lang w:val="en-US" w:eastAsia="zh-CN"/>
        </w:rPr>
        <w:t>. Changes would focus primarily on specifying the boost conditions and tolerances.</w:t>
      </w:r>
    </w:p>
    <w:p w14:paraId="700125E2" w14:textId="77777777" w:rsidR="00316D22" w:rsidRPr="0048766D" w:rsidRDefault="00316D22" w:rsidP="00316D22">
      <w:pPr>
        <w:rPr>
          <w:rFonts w:eastAsia="宋体"/>
          <w:b/>
          <w:lang w:val="en-US" w:eastAsia="zh-CN"/>
        </w:rPr>
      </w:pPr>
      <w:r w:rsidRPr="0048766D">
        <w:rPr>
          <w:rFonts w:eastAsia="宋体"/>
          <w:b/>
          <w:lang w:val="en-US" w:eastAsia="zh-CN"/>
        </w:rPr>
        <w:t xml:space="preserve">Proposal </w:t>
      </w:r>
      <w:r w:rsidR="00B3792B">
        <w:rPr>
          <w:rFonts w:eastAsia="宋体"/>
          <w:b/>
          <w:lang w:val="en-US" w:eastAsia="zh-CN"/>
        </w:rPr>
        <w:t>1</w:t>
      </w:r>
      <w:r w:rsidRPr="0048766D">
        <w:rPr>
          <w:rFonts w:eastAsia="宋体"/>
          <w:b/>
          <w:lang w:val="en-US" w:eastAsia="zh-CN"/>
        </w:rPr>
        <w:t>: It is suggested to reuse PC1 w</w:t>
      </w:r>
      <w:r>
        <w:rPr>
          <w:rFonts w:eastAsia="宋体"/>
          <w:b/>
          <w:lang w:val="en-US" w:eastAsia="zh-CN"/>
        </w:rPr>
        <w:t>ith or without</w:t>
      </w:r>
      <w:r w:rsidRPr="0048766D">
        <w:rPr>
          <w:rFonts w:eastAsia="宋体"/>
          <w:b/>
          <w:lang w:val="en-US" w:eastAsia="zh-CN"/>
        </w:rPr>
        <w:t xml:space="preserve"> general power boosting scheme</w:t>
      </w:r>
      <w:r>
        <w:rPr>
          <w:rFonts w:eastAsia="宋体"/>
          <w:b/>
          <w:lang w:val="en-US" w:eastAsia="zh-CN"/>
        </w:rPr>
        <w:t xml:space="preserve"> to achieve up to 32 dBm in Rel-20</w:t>
      </w:r>
      <w:r w:rsidRPr="0048766D">
        <w:rPr>
          <w:rFonts w:eastAsia="宋体"/>
          <w:b/>
          <w:lang w:val="en-US" w:eastAsia="zh-CN"/>
        </w:rPr>
        <w:t>.</w:t>
      </w:r>
    </w:p>
    <w:p w14:paraId="771752BF" w14:textId="77777777" w:rsidR="00042D93" w:rsidRPr="004A333F" w:rsidRDefault="00042D93" w:rsidP="001A10DB">
      <w:pPr>
        <w:rPr>
          <w:lang w:val="en-US" w:eastAsia="zh-CN"/>
        </w:rPr>
      </w:pPr>
      <w:r w:rsidRPr="004A333F">
        <w:rPr>
          <w:lang w:val="en-US" w:eastAsia="zh-CN"/>
        </w:rPr>
        <w:t>PC1 was introduced for band n14 for public safety service in Rel-17 [</w:t>
      </w:r>
      <w:r w:rsidR="005B3026">
        <w:rPr>
          <w:lang w:val="en-US" w:eastAsia="zh-CN"/>
        </w:rPr>
        <w:t>2</w:t>
      </w:r>
      <w:r w:rsidRPr="004A333F">
        <w:rPr>
          <w:lang w:val="en-US" w:eastAsia="zh-CN"/>
        </w:rPr>
        <w:t>].</w:t>
      </w:r>
      <w:r w:rsidR="003D146D" w:rsidRPr="004A333F">
        <w:rPr>
          <w:lang w:val="en-US" w:eastAsia="zh-CN"/>
        </w:rPr>
        <w:t xml:space="preserve"> It is generally </w:t>
      </w:r>
      <w:r w:rsidR="00B57567" w:rsidRPr="004A333F">
        <w:rPr>
          <w:lang w:val="en-US" w:eastAsia="zh-CN"/>
        </w:rPr>
        <w:t>acknowledged</w:t>
      </w:r>
      <w:r w:rsidR="003D146D" w:rsidRPr="004A333F">
        <w:rPr>
          <w:lang w:val="en-US" w:eastAsia="zh-CN"/>
        </w:rPr>
        <w:t xml:space="preserve"> that PC1 UE for band n14 is not targeted for smartphone form factor.</w:t>
      </w:r>
      <w:r w:rsidR="00A329E4">
        <w:rPr>
          <w:lang w:val="en-US" w:eastAsia="zh-CN"/>
        </w:rPr>
        <w:t xml:space="preserve"> Then other bands were added for the support of PC1 in Rel-18 for FWA UE and vehicle mounted UE. In current specification, MPR requirements were defined for band n14 and other bands.</w:t>
      </w:r>
    </w:p>
    <w:p w14:paraId="54CE6F22" w14:textId="77777777" w:rsidR="00042D93" w:rsidRPr="007A6C77" w:rsidRDefault="003D146D" w:rsidP="001A10DB">
      <w:pPr>
        <w:rPr>
          <w:lang w:val="en-US" w:eastAsia="zh-CN"/>
        </w:rPr>
      </w:pPr>
      <w:r w:rsidRPr="007A6C77">
        <w:rPr>
          <w:lang w:val="en-US" w:eastAsia="zh-CN"/>
        </w:rPr>
        <w:lastRenderedPageBreak/>
        <w:t>The MPR requirements for PC1 in band n14 was captured:</w:t>
      </w:r>
    </w:p>
    <w:p w14:paraId="0E8A4E09" w14:textId="77777777" w:rsidR="003D146D" w:rsidRPr="003D146D" w:rsidRDefault="003D146D" w:rsidP="003D146D">
      <w:pPr>
        <w:keepNext/>
        <w:keepLines/>
        <w:overflowPunct/>
        <w:autoSpaceDE/>
        <w:autoSpaceDN/>
        <w:adjustRightInd/>
        <w:spacing w:before="60"/>
        <w:jc w:val="center"/>
        <w:textAlignment w:val="auto"/>
        <w:rPr>
          <w:rFonts w:eastAsia="MS Mincho"/>
          <w:b/>
        </w:rPr>
      </w:pPr>
      <w:r w:rsidRPr="003D146D">
        <w:rPr>
          <w:rFonts w:eastAsia="MS Mincho"/>
          <w: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D146D" w:rsidRPr="003D146D" w14:paraId="7D7ED58E" w14:textId="77777777" w:rsidTr="003D146D">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6AE06B36" w14:textId="77777777" w:rsidR="003D146D" w:rsidRPr="003D146D" w:rsidRDefault="003D146D" w:rsidP="003D146D">
            <w:pPr>
              <w:keepNext/>
              <w:keepLines/>
              <w:overflowPunct/>
              <w:autoSpaceDE/>
              <w:autoSpaceDN/>
              <w:adjustRightInd/>
              <w:spacing w:after="0"/>
              <w:jc w:val="center"/>
              <w:textAlignment w:val="auto"/>
              <w:rPr>
                <w:rFonts w:eastAsia="MS Mincho"/>
                <w:b/>
              </w:rPr>
            </w:pPr>
            <w:r w:rsidRPr="003D146D">
              <w:rPr>
                <w:rFonts w:eastAsia="MS Mincho"/>
                <w: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E7DDC72" w14:textId="77777777" w:rsidR="003D146D" w:rsidRPr="003D146D" w:rsidRDefault="003D146D" w:rsidP="003D146D">
            <w:pPr>
              <w:keepNext/>
              <w:keepLines/>
              <w:overflowPunct/>
              <w:autoSpaceDE/>
              <w:autoSpaceDN/>
              <w:adjustRightInd/>
              <w:spacing w:after="0"/>
              <w:jc w:val="center"/>
              <w:textAlignment w:val="auto"/>
              <w:rPr>
                <w:rFonts w:eastAsia="MS Mincho"/>
                <w:b/>
              </w:rPr>
            </w:pPr>
            <w:r w:rsidRPr="003D146D">
              <w:rPr>
                <w:rFonts w:eastAsia="MS Mincho"/>
                <w:b/>
              </w:rPr>
              <w:t>MPR (dB)</w:t>
            </w:r>
          </w:p>
        </w:tc>
      </w:tr>
      <w:tr w:rsidR="003D146D" w:rsidRPr="003D146D" w14:paraId="443B6FB2" w14:textId="77777777" w:rsidTr="003D146D">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05D3A81E" w14:textId="77777777" w:rsidR="003D146D" w:rsidRPr="003D146D" w:rsidRDefault="003D146D" w:rsidP="003D146D">
            <w:pPr>
              <w:overflowPunct/>
              <w:autoSpaceDE/>
              <w:autoSpaceDN/>
              <w:adjustRightInd/>
              <w:textAlignment w:val="auto"/>
            </w:pPr>
          </w:p>
        </w:tc>
        <w:tc>
          <w:tcPr>
            <w:tcW w:w="2268" w:type="dxa"/>
            <w:tcBorders>
              <w:top w:val="single" w:sz="4" w:space="0" w:color="auto"/>
              <w:left w:val="single" w:sz="4" w:space="0" w:color="auto"/>
              <w:bottom w:val="single" w:sz="4" w:space="0" w:color="auto"/>
              <w:right w:val="single" w:sz="4" w:space="0" w:color="auto"/>
            </w:tcBorders>
            <w:hideMark/>
          </w:tcPr>
          <w:p w14:paraId="23E5405F" w14:textId="77777777" w:rsidR="003D146D" w:rsidRPr="003D146D" w:rsidRDefault="003D146D" w:rsidP="003D146D">
            <w:pPr>
              <w:keepNext/>
              <w:keepLines/>
              <w:overflowPunct/>
              <w:autoSpaceDE/>
              <w:autoSpaceDN/>
              <w:adjustRightInd/>
              <w:spacing w:after="0"/>
              <w:jc w:val="center"/>
              <w:textAlignment w:val="auto"/>
              <w:rPr>
                <w:rFonts w:eastAsia="MS Mincho"/>
                <w:b/>
              </w:rPr>
            </w:pPr>
            <w:r w:rsidRPr="003D146D">
              <w:rPr>
                <w:rFonts w:eastAsia="MS Mincho"/>
                <w: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CE33C34" w14:textId="77777777" w:rsidR="003D146D" w:rsidRPr="003D146D" w:rsidRDefault="003D146D" w:rsidP="003D146D">
            <w:pPr>
              <w:keepNext/>
              <w:keepLines/>
              <w:overflowPunct/>
              <w:autoSpaceDE/>
              <w:autoSpaceDN/>
              <w:adjustRightInd/>
              <w:spacing w:after="0"/>
              <w:jc w:val="center"/>
              <w:textAlignment w:val="auto"/>
              <w:rPr>
                <w:rFonts w:eastAsia="MS Mincho"/>
                <w:b/>
              </w:rPr>
            </w:pPr>
            <w:r w:rsidRPr="003D146D">
              <w:rPr>
                <w:rFonts w:eastAsia="MS Mincho"/>
                <w: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4895981" w14:textId="77777777" w:rsidR="003D146D" w:rsidRPr="003D146D" w:rsidRDefault="003D146D" w:rsidP="003D146D">
            <w:pPr>
              <w:keepNext/>
              <w:keepLines/>
              <w:overflowPunct/>
              <w:autoSpaceDE/>
              <w:autoSpaceDN/>
              <w:adjustRightInd/>
              <w:spacing w:after="0"/>
              <w:jc w:val="center"/>
              <w:textAlignment w:val="auto"/>
              <w:rPr>
                <w:rFonts w:eastAsia="MS Mincho"/>
                <w:b/>
              </w:rPr>
            </w:pPr>
            <w:r w:rsidRPr="003D146D">
              <w:rPr>
                <w:rFonts w:eastAsia="MS Mincho"/>
                <w:b/>
              </w:rPr>
              <w:t>Inner RB allocations</w:t>
            </w:r>
          </w:p>
        </w:tc>
      </w:tr>
      <w:tr w:rsidR="003D146D" w:rsidRPr="003D146D" w14:paraId="2E84BB96" w14:textId="77777777" w:rsidTr="003D146D">
        <w:trPr>
          <w:trHeight w:val="187"/>
        </w:trPr>
        <w:tc>
          <w:tcPr>
            <w:tcW w:w="1072" w:type="dxa"/>
            <w:tcBorders>
              <w:top w:val="single" w:sz="4" w:space="0" w:color="auto"/>
              <w:left w:val="single" w:sz="4" w:space="0" w:color="auto"/>
              <w:bottom w:val="nil"/>
              <w:right w:val="single" w:sz="4" w:space="0" w:color="auto"/>
            </w:tcBorders>
            <w:hideMark/>
          </w:tcPr>
          <w:p w14:paraId="3738E498"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DFT-s-OFDM</w:t>
            </w:r>
          </w:p>
        </w:tc>
        <w:tc>
          <w:tcPr>
            <w:tcW w:w="1560" w:type="dxa"/>
            <w:tcBorders>
              <w:top w:val="single" w:sz="4" w:space="0" w:color="auto"/>
              <w:left w:val="single" w:sz="4" w:space="0" w:color="auto"/>
              <w:bottom w:val="nil"/>
              <w:right w:val="single" w:sz="4" w:space="0" w:color="auto"/>
            </w:tcBorders>
            <w:hideMark/>
          </w:tcPr>
          <w:p w14:paraId="1CA66866"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Pi/2 BPSK</w:t>
            </w:r>
          </w:p>
        </w:tc>
        <w:tc>
          <w:tcPr>
            <w:tcW w:w="2268" w:type="dxa"/>
            <w:tcBorders>
              <w:top w:val="single" w:sz="4" w:space="0" w:color="auto"/>
              <w:left w:val="single" w:sz="4" w:space="0" w:color="auto"/>
              <w:bottom w:val="single" w:sz="4" w:space="0" w:color="auto"/>
              <w:right w:val="single" w:sz="4" w:space="0" w:color="auto"/>
            </w:tcBorders>
            <w:hideMark/>
          </w:tcPr>
          <w:p w14:paraId="36FFC7FA"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0.5</w:t>
            </w:r>
          </w:p>
        </w:tc>
        <w:tc>
          <w:tcPr>
            <w:tcW w:w="2551" w:type="dxa"/>
            <w:tcBorders>
              <w:top w:val="single" w:sz="4" w:space="0" w:color="auto"/>
              <w:left w:val="single" w:sz="4" w:space="0" w:color="auto"/>
              <w:bottom w:val="single" w:sz="4" w:space="0" w:color="auto"/>
              <w:right w:val="single" w:sz="4" w:space="0" w:color="auto"/>
            </w:tcBorders>
            <w:hideMark/>
          </w:tcPr>
          <w:p w14:paraId="0DA7A122" w14:textId="77777777" w:rsidR="003D146D" w:rsidRPr="003D146D" w:rsidRDefault="003D146D" w:rsidP="003D146D">
            <w:pPr>
              <w:keepNext/>
              <w:keepLines/>
              <w:overflowPunct/>
              <w:autoSpaceDE/>
              <w:autoSpaceDN/>
              <w:adjustRightInd/>
              <w:spacing w:after="0"/>
              <w:jc w:val="center"/>
              <w:textAlignment w:val="auto"/>
              <w:rPr>
                <w:rFonts w:eastAsia="MS Mincho"/>
                <w:lang w:val="en-CA"/>
              </w:rPr>
            </w:pPr>
            <w:r w:rsidRPr="003D146D">
              <w:rPr>
                <w:rFonts w:eastAsia="MS Mincho"/>
              </w:rPr>
              <w:t>≤ 0.5</w:t>
            </w:r>
          </w:p>
        </w:tc>
        <w:tc>
          <w:tcPr>
            <w:tcW w:w="2126" w:type="dxa"/>
            <w:tcBorders>
              <w:top w:val="single" w:sz="4" w:space="0" w:color="auto"/>
              <w:left w:val="single" w:sz="4" w:space="0" w:color="auto"/>
              <w:bottom w:val="single" w:sz="4" w:space="0" w:color="auto"/>
              <w:right w:val="single" w:sz="4" w:space="0" w:color="auto"/>
            </w:tcBorders>
            <w:hideMark/>
          </w:tcPr>
          <w:p w14:paraId="72DD4A9F"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0</w:t>
            </w:r>
          </w:p>
        </w:tc>
      </w:tr>
      <w:tr w:rsidR="003D146D" w:rsidRPr="003D146D" w14:paraId="07D54EC4" w14:textId="77777777" w:rsidTr="003D146D">
        <w:trPr>
          <w:trHeight w:val="187"/>
        </w:trPr>
        <w:tc>
          <w:tcPr>
            <w:tcW w:w="1072" w:type="dxa"/>
            <w:tcBorders>
              <w:top w:val="nil"/>
              <w:left w:val="single" w:sz="4" w:space="0" w:color="auto"/>
              <w:bottom w:val="nil"/>
              <w:right w:val="single" w:sz="4" w:space="0" w:color="auto"/>
            </w:tcBorders>
          </w:tcPr>
          <w:p w14:paraId="351D2CDB" w14:textId="77777777" w:rsidR="003D146D" w:rsidRPr="003D146D" w:rsidRDefault="003D146D" w:rsidP="003D146D">
            <w:pPr>
              <w:keepNext/>
              <w:keepLines/>
              <w:overflowPunct/>
              <w:autoSpaceDE/>
              <w:autoSpaceDN/>
              <w:adjustRightInd/>
              <w:spacing w:after="0"/>
              <w:jc w:val="center"/>
              <w:textAlignment w:val="auto"/>
              <w:rPr>
                <w:rFonts w:eastAsia="MS Mincho"/>
              </w:rPr>
            </w:pPr>
          </w:p>
        </w:tc>
        <w:tc>
          <w:tcPr>
            <w:tcW w:w="1560" w:type="dxa"/>
            <w:tcBorders>
              <w:top w:val="single" w:sz="4" w:space="0" w:color="auto"/>
              <w:left w:val="single" w:sz="4" w:space="0" w:color="auto"/>
              <w:bottom w:val="single" w:sz="4" w:space="0" w:color="auto"/>
              <w:right w:val="single" w:sz="4" w:space="0" w:color="auto"/>
            </w:tcBorders>
            <w:hideMark/>
          </w:tcPr>
          <w:p w14:paraId="3B4E8C59"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F6B146A"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0.5</w:t>
            </w:r>
          </w:p>
        </w:tc>
        <w:tc>
          <w:tcPr>
            <w:tcW w:w="2551" w:type="dxa"/>
            <w:tcBorders>
              <w:top w:val="single" w:sz="4" w:space="0" w:color="auto"/>
              <w:left w:val="single" w:sz="4" w:space="0" w:color="auto"/>
              <w:bottom w:val="single" w:sz="4" w:space="0" w:color="auto"/>
              <w:right w:val="single" w:sz="4" w:space="0" w:color="auto"/>
            </w:tcBorders>
            <w:hideMark/>
          </w:tcPr>
          <w:p w14:paraId="59FAF76E"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0</w:t>
            </w:r>
          </w:p>
        </w:tc>
        <w:tc>
          <w:tcPr>
            <w:tcW w:w="2126" w:type="dxa"/>
            <w:tcBorders>
              <w:top w:val="single" w:sz="4" w:space="0" w:color="auto"/>
              <w:left w:val="single" w:sz="4" w:space="0" w:color="auto"/>
              <w:bottom w:val="single" w:sz="4" w:space="0" w:color="auto"/>
              <w:right w:val="single" w:sz="4" w:space="0" w:color="auto"/>
            </w:tcBorders>
            <w:hideMark/>
          </w:tcPr>
          <w:p w14:paraId="0BF31766"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0</w:t>
            </w:r>
          </w:p>
        </w:tc>
      </w:tr>
      <w:tr w:rsidR="003D146D" w:rsidRPr="003D146D" w14:paraId="39D949DC" w14:textId="77777777" w:rsidTr="003D146D">
        <w:trPr>
          <w:trHeight w:val="187"/>
        </w:trPr>
        <w:tc>
          <w:tcPr>
            <w:tcW w:w="1072" w:type="dxa"/>
            <w:tcBorders>
              <w:top w:val="nil"/>
              <w:left w:val="single" w:sz="4" w:space="0" w:color="auto"/>
              <w:bottom w:val="nil"/>
              <w:right w:val="single" w:sz="4" w:space="0" w:color="auto"/>
            </w:tcBorders>
            <w:hideMark/>
          </w:tcPr>
          <w:p w14:paraId="1D3B7D36"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0E3F4973"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CF18989"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9360E8E"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lang w:val="en-CA"/>
              </w:rPr>
              <w:t>0</w:t>
            </w:r>
          </w:p>
        </w:tc>
      </w:tr>
      <w:tr w:rsidR="003D146D" w:rsidRPr="003D146D" w14:paraId="5B829BE6" w14:textId="77777777" w:rsidTr="003D146D">
        <w:trPr>
          <w:trHeight w:val="187"/>
        </w:trPr>
        <w:tc>
          <w:tcPr>
            <w:tcW w:w="1072" w:type="dxa"/>
            <w:tcBorders>
              <w:top w:val="nil"/>
              <w:left w:val="single" w:sz="4" w:space="0" w:color="auto"/>
              <w:bottom w:val="nil"/>
              <w:right w:val="single" w:sz="4" w:space="0" w:color="auto"/>
            </w:tcBorders>
            <w:hideMark/>
          </w:tcPr>
          <w:p w14:paraId="5FF34274"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12494B90"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20E48A9D"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AA65E75"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1</w:t>
            </w:r>
          </w:p>
        </w:tc>
      </w:tr>
      <w:tr w:rsidR="003D146D" w:rsidRPr="003D146D" w14:paraId="13BC99ED" w14:textId="77777777" w:rsidTr="003D146D">
        <w:trPr>
          <w:trHeight w:val="187"/>
        </w:trPr>
        <w:tc>
          <w:tcPr>
            <w:tcW w:w="1072" w:type="dxa"/>
            <w:tcBorders>
              <w:top w:val="nil"/>
              <w:left w:val="single" w:sz="4" w:space="0" w:color="auto"/>
              <w:bottom w:val="nil"/>
              <w:right w:val="single" w:sz="4" w:space="0" w:color="auto"/>
            </w:tcBorders>
            <w:hideMark/>
          </w:tcPr>
          <w:p w14:paraId="3CA3A7E3"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6D6C876E"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7946A3D"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2.5</w:t>
            </w:r>
          </w:p>
        </w:tc>
      </w:tr>
      <w:tr w:rsidR="003D146D" w:rsidRPr="003D146D" w14:paraId="0D683494" w14:textId="77777777" w:rsidTr="003D146D">
        <w:trPr>
          <w:trHeight w:val="187"/>
        </w:trPr>
        <w:tc>
          <w:tcPr>
            <w:tcW w:w="1072" w:type="dxa"/>
            <w:tcBorders>
              <w:top w:val="nil"/>
              <w:left w:val="single" w:sz="4" w:space="0" w:color="auto"/>
              <w:bottom w:val="single" w:sz="4" w:space="0" w:color="auto"/>
              <w:right w:val="single" w:sz="4" w:space="0" w:color="auto"/>
            </w:tcBorders>
            <w:hideMark/>
          </w:tcPr>
          <w:p w14:paraId="4569E500"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0A830AEB"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lang w:eastAsia="zh-CN"/>
              </w:rPr>
              <w:t>256</w:t>
            </w:r>
            <w:r w:rsidRPr="003D146D">
              <w:rPr>
                <w:rFonts w:eastAsia="MS Mincho"/>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0468BA5"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4.5</w:t>
            </w:r>
          </w:p>
        </w:tc>
      </w:tr>
      <w:tr w:rsidR="003D146D" w:rsidRPr="003D146D" w14:paraId="4C9816F7" w14:textId="77777777" w:rsidTr="003D146D">
        <w:trPr>
          <w:trHeight w:val="187"/>
        </w:trPr>
        <w:tc>
          <w:tcPr>
            <w:tcW w:w="1072" w:type="dxa"/>
            <w:tcBorders>
              <w:top w:val="single" w:sz="4" w:space="0" w:color="auto"/>
              <w:left w:val="single" w:sz="4" w:space="0" w:color="auto"/>
              <w:bottom w:val="nil"/>
              <w:right w:val="single" w:sz="4" w:space="0" w:color="auto"/>
            </w:tcBorders>
            <w:hideMark/>
          </w:tcPr>
          <w:p w14:paraId="71B5BA00" w14:textId="77777777" w:rsidR="003D146D" w:rsidRPr="003D146D" w:rsidRDefault="003D146D" w:rsidP="003D146D">
            <w:pPr>
              <w:keepNext/>
              <w:keepLines/>
              <w:overflowPunct/>
              <w:autoSpaceDE/>
              <w:autoSpaceDN/>
              <w:adjustRightInd/>
              <w:spacing w:after="0"/>
              <w:jc w:val="center"/>
              <w:textAlignment w:val="auto"/>
              <w:rPr>
                <w:rFonts w:eastAsia="MS Mincho"/>
                <w:lang w:eastAsia="zh-CN"/>
              </w:rPr>
            </w:pPr>
            <w:r w:rsidRPr="003D146D">
              <w:rPr>
                <w:rFonts w:eastAsia="MS Mincho"/>
              </w:rPr>
              <w:t>CP-OFDM</w:t>
            </w:r>
          </w:p>
        </w:tc>
        <w:tc>
          <w:tcPr>
            <w:tcW w:w="1560" w:type="dxa"/>
            <w:tcBorders>
              <w:top w:val="single" w:sz="4" w:space="0" w:color="auto"/>
              <w:left w:val="single" w:sz="4" w:space="0" w:color="auto"/>
              <w:bottom w:val="single" w:sz="4" w:space="0" w:color="auto"/>
              <w:right w:val="single" w:sz="4" w:space="0" w:color="auto"/>
            </w:tcBorders>
            <w:hideMark/>
          </w:tcPr>
          <w:p w14:paraId="63AD8098" w14:textId="77777777" w:rsidR="003D146D" w:rsidRPr="003D146D" w:rsidRDefault="003D146D" w:rsidP="003D146D">
            <w:pPr>
              <w:keepNext/>
              <w:keepLines/>
              <w:overflowPunct/>
              <w:autoSpaceDE/>
              <w:autoSpaceDN/>
              <w:adjustRightInd/>
              <w:spacing w:after="0"/>
              <w:jc w:val="center"/>
              <w:textAlignment w:val="auto"/>
              <w:rPr>
                <w:rFonts w:eastAsia="MS Mincho"/>
                <w:lang w:eastAsia="zh-CN"/>
              </w:rPr>
            </w:pPr>
            <w:r w:rsidRPr="003D146D">
              <w:rPr>
                <w:rFonts w:eastAsia="MS Mincho"/>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22B24F5"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C358766"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w:t>
            </w:r>
            <w:r w:rsidRPr="003D146D">
              <w:rPr>
                <w:rFonts w:eastAsia="MS Mincho"/>
                <w:lang w:val="en-CA"/>
              </w:rPr>
              <w:t xml:space="preserve"> 1.5</w:t>
            </w:r>
          </w:p>
        </w:tc>
      </w:tr>
      <w:tr w:rsidR="003D146D" w:rsidRPr="003D146D" w14:paraId="57CF1CEF" w14:textId="77777777" w:rsidTr="003D146D">
        <w:trPr>
          <w:trHeight w:val="187"/>
        </w:trPr>
        <w:tc>
          <w:tcPr>
            <w:tcW w:w="1072" w:type="dxa"/>
            <w:tcBorders>
              <w:top w:val="nil"/>
              <w:left w:val="single" w:sz="4" w:space="0" w:color="auto"/>
              <w:bottom w:val="nil"/>
              <w:right w:val="single" w:sz="4" w:space="0" w:color="auto"/>
            </w:tcBorders>
            <w:hideMark/>
          </w:tcPr>
          <w:p w14:paraId="01B5E371"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39E31422" w14:textId="77777777" w:rsidR="003D146D" w:rsidRPr="003D146D" w:rsidRDefault="003D146D" w:rsidP="003D146D">
            <w:pPr>
              <w:keepNext/>
              <w:keepLines/>
              <w:overflowPunct/>
              <w:autoSpaceDE/>
              <w:autoSpaceDN/>
              <w:adjustRightInd/>
              <w:spacing w:after="0"/>
              <w:jc w:val="center"/>
              <w:textAlignment w:val="auto"/>
              <w:rPr>
                <w:rFonts w:eastAsia="MS Mincho"/>
                <w:lang w:eastAsia="zh-CN"/>
              </w:rPr>
            </w:pPr>
            <w:r w:rsidRPr="003D146D">
              <w:rPr>
                <w:rFonts w:eastAsia="MS Mincho"/>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57882B07"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3</w:t>
            </w:r>
          </w:p>
        </w:tc>
        <w:tc>
          <w:tcPr>
            <w:tcW w:w="2126" w:type="dxa"/>
            <w:tcBorders>
              <w:top w:val="single" w:sz="4" w:space="0" w:color="auto"/>
              <w:left w:val="single" w:sz="4" w:space="0" w:color="auto"/>
              <w:bottom w:val="single" w:sz="4" w:space="0" w:color="auto"/>
              <w:right w:val="single" w:sz="4" w:space="0" w:color="auto"/>
            </w:tcBorders>
            <w:hideMark/>
          </w:tcPr>
          <w:p w14:paraId="1DE791BF"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2</w:t>
            </w:r>
          </w:p>
        </w:tc>
      </w:tr>
      <w:tr w:rsidR="003D146D" w:rsidRPr="003D146D" w14:paraId="472B884B" w14:textId="77777777" w:rsidTr="003D146D">
        <w:trPr>
          <w:trHeight w:val="187"/>
        </w:trPr>
        <w:tc>
          <w:tcPr>
            <w:tcW w:w="1072" w:type="dxa"/>
            <w:tcBorders>
              <w:top w:val="nil"/>
              <w:left w:val="single" w:sz="4" w:space="0" w:color="auto"/>
              <w:bottom w:val="nil"/>
              <w:right w:val="single" w:sz="4" w:space="0" w:color="auto"/>
            </w:tcBorders>
            <w:hideMark/>
          </w:tcPr>
          <w:p w14:paraId="3F95E0C7"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73DD17F8"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lang w:eastAsia="zh-CN"/>
              </w:rPr>
              <w:t>64</w:t>
            </w:r>
            <w:r w:rsidRPr="003D146D">
              <w:rPr>
                <w:rFonts w:eastAsia="MS Mincho"/>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3ED7198"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3.5</w:t>
            </w:r>
          </w:p>
        </w:tc>
      </w:tr>
      <w:tr w:rsidR="003D146D" w:rsidRPr="003D146D" w14:paraId="72C04FD7" w14:textId="77777777" w:rsidTr="003D146D">
        <w:trPr>
          <w:trHeight w:val="187"/>
        </w:trPr>
        <w:tc>
          <w:tcPr>
            <w:tcW w:w="1072" w:type="dxa"/>
            <w:tcBorders>
              <w:top w:val="nil"/>
              <w:left w:val="single" w:sz="4" w:space="0" w:color="auto"/>
              <w:bottom w:val="single" w:sz="4" w:space="0" w:color="auto"/>
              <w:right w:val="single" w:sz="4" w:space="0" w:color="auto"/>
            </w:tcBorders>
            <w:hideMark/>
          </w:tcPr>
          <w:p w14:paraId="6C18884D" w14:textId="77777777" w:rsidR="003D146D" w:rsidRPr="003D146D" w:rsidRDefault="003D146D" w:rsidP="003D146D">
            <w:pPr>
              <w:overflowPunct/>
              <w:autoSpaceDE/>
              <w:autoSpaceDN/>
              <w:adjustRightInd/>
              <w:textAlignment w:val="auto"/>
            </w:pPr>
          </w:p>
        </w:tc>
        <w:tc>
          <w:tcPr>
            <w:tcW w:w="1560" w:type="dxa"/>
            <w:tcBorders>
              <w:top w:val="single" w:sz="4" w:space="0" w:color="auto"/>
              <w:left w:val="single" w:sz="4" w:space="0" w:color="auto"/>
              <w:bottom w:val="single" w:sz="4" w:space="0" w:color="auto"/>
              <w:right w:val="single" w:sz="4" w:space="0" w:color="auto"/>
            </w:tcBorders>
            <w:hideMark/>
          </w:tcPr>
          <w:p w14:paraId="0431D0C3" w14:textId="77777777" w:rsidR="003D146D" w:rsidRPr="003D146D" w:rsidRDefault="003D146D" w:rsidP="003D146D">
            <w:pPr>
              <w:keepNext/>
              <w:keepLines/>
              <w:overflowPunct/>
              <w:autoSpaceDE/>
              <w:autoSpaceDN/>
              <w:adjustRightInd/>
              <w:spacing w:after="0"/>
              <w:jc w:val="center"/>
              <w:textAlignment w:val="auto"/>
              <w:rPr>
                <w:rFonts w:eastAsia="MS Mincho"/>
                <w:lang w:eastAsia="zh-CN"/>
              </w:rPr>
            </w:pPr>
            <w:r w:rsidRPr="003D146D">
              <w:rPr>
                <w:rFonts w:eastAsia="MS Mincho"/>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62273C7" w14:textId="77777777" w:rsidR="003D146D" w:rsidRPr="003D146D" w:rsidRDefault="003D146D" w:rsidP="003D146D">
            <w:pPr>
              <w:keepNext/>
              <w:keepLines/>
              <w:overflowPunct/>
              <w:autoSpaceDE/>
              <w:autoSpaceDN/>
              <w:adjustRightInd/>
              <w:spacing w:after="0"/>
              <w:jc w:val="center"/>
              <w:textAlignment w:val="auto"/>
              <w:rPr>
                <w:rFonts w:eastAsia="MS Mincho"/>
              </w:rPr>
            </w:pPr>
            <w:r w:rsidRPr="003D146D">
              <w:rPr>
                <w:rFonts w:eastAsia="MS Mincho"/>
              </w:rPr>
              <w:t xml:space="preserve">≤ </w:t>
            </w:r>
            <w:r w:rsidRPr="003D146D">
              <w:rPr>
                <w:rFonts w:eastAsia="MS Mincho"/>
                <w:lang w:val="en-CA"/>
              </w:rPr>
              <w:t>6.5</w:t>
            </w:r>
          </w:p>
        </w:tc>
      </w:tr>
    </w:tbl>
    <w:p w14:paraId="56C3CDEF" w14:textId="77777777" w:rsidR="003D146D" w:rsidRPr="004A333F" w:rsidRDefault="003D146D" w:rsidP="001A10DB">
      <w:pPr>
        <w:rPr>
          <w:b/>
          <w:lang w:val="en-US" w:eastAsia="zh-CN"/>
        </w:rPr>
      </w:pPr>
    </w:p>
    <w:p w14:paraId="30C03A25" w14:textId="77777777" w:rsidR="0089379A" w:rsidRPr="007A6C77" w:rsidRDefault="007A6C77" w:rsidP="001A10DB">
      <w:pPr>
        <w:rPr>
          <w:lang w:val="en-US" w:eastAsia="zh-CN"/>
        </w:rPr>
      </w:pPr>
      <w:r>
        <w:rPr>
          <w:lang w:val="en-US" w:eastAsia="zh-CN"/>
        </w:rPr>
        <w:t xml:space="preserve">The </w:t>
      </w:r>
      <w:r w:rsidR="0089379A" w:rsidRPr="007A6C77">
        <w:rPr>
          <w:lang w:val="en-US" w:eastAsia="zh-CN"/>
        </w:rPr>
        <w:t>MPR</w:t>
      </w:r>
      <w:r>
        <w:rPr>
          <w:lang w:val="en-US" w:eastAsia="zh-CN"/>
        </w:rPr>
        <w:t xml:space="preserve"> requirements</w:t>
      </w:r>
      <w:r w:rsidR="0089379A" w:rsidRPr="007A6C77">
        <w:rPr>
          <w:lang w:val="en-US" w:eastAsia="zh-CN"/>
        </w:rPr>
        <w:t xml:space="preserve"> </w:t>
      </w:r>
      <w:r w:rsidR="0089379A" w:rsidRPr="007A6C77">
        <w:rPr>
          <w:rFonts w:eastAsiaTheme="minorEastAsia"/>
          <w:lang w:val="en-US" w:eastAsia="zh-CN"/>
        </w:rPr>
        <w:t>for</w:t>
      </w:r>
      <w:r w:rsidR="0089379A" w:rsidRPr="007A6C77">
        <w:rPr>
          <w:lang w:val="en-US" w:eastAsia="zh-CN"/>
        </w:rPr>
        <w:t xml:space="preserve"> </w:t>
      </w:r>
      <w:r w:rsidRPr="007A6C77">
        <w:rPr>
          <w:lang w:val="en-US" w:eastAsia="zh-CN"/>
        </w:rPr>
        <w:t xml:space="preserve">PC1 in </w:t>
      </w:r>
      <w:r w:rsidR="0089379A" w:rsidRPr="007A6C77">
        <w:rPr>
          <w:rFonts w:eastAsiaTheme="minorEastAsia"/>
          <w:lang w:val="en-US" w:eastAsia="zh-CN"/>
        </w:rPr>
        <w:t>bands</w:t>
      </w:r>
      <w:r w:rsidR="0089379A" w:rsidRPr="007A6C77">
        <w:rPr>
          <w:lang w:val="en-US" w:eastAsia="zh-CN"/>
        </w:rPr>
        <w:t xml:space="preserve"> other than n14</w:t>
      </w:r>
      <w:r w:rsidRPr="007A6C77">
        <w:rPr>
          <w:lang w:val="en-US" w:eastAsia="zh-CN"/>
        </w:rPr>
        <w:t xml:space="preserve"> was captured:</w:t>
      </w:r>
    </w:p>
    <w:p w14:paraId="59835BA1" w14:textId="77777777" w:rsidR="0089379A" w:rsidRPr="004A333F" w:rsidRDefault="0089379A" w:rsidP="0089379A">
      <w:pPr>
        <w:pStyle w:val="TH"/>
        <w:rPr>
          <w:rFonts w:ascii="Times New Roman" w:hAnsi="Times New Roman"/>
        </w:rPr>
      </w:pPr>
      <w:bookmarkStart w:id="2" w:name="_Hlk117749663"/>
      <w:bookmarkStart w:id="3" w:name="_Hlk117865269"/>
      <w:r w:rsidRPr="004A333F">
        <w:rPr>
          <w:rFonts w:ascii="Times New Roman" w:hAnsi="Times New Roman"/>
        </w:rPr>
        <w:t>Table 6.2.2-</w:t>
      </w:r>
      <w:bookmarkEnd w:id="2"/>
      <w:r w:rsidRPr="004A333F">
        <w:rPr>
          <w:rFonts w:ascii="Times New Roman" w:hAnsi="Times New Roman"/>
        </w:rPr>
        <w:t xml:space="preserve">4b: </w:t>
      </w:r>
      <w:bookmarkEnd w:id="3"/>
      <w:r w:rsidRPr="004A333F">
        <w:rPr>
          <w:rFonts w:ascii="Times New Roman" w:hAnsi="Times New Roman"/>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89379A" w:rsidRPr="004A333F" w14:paraId="3A473530" w14:textId="77777777" w:rsidTr="000E0A8F">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1F5F268D" w14:textId="77777777" w:rsidR="0089379A" w:rsidRPr="004A333F" w:rsidRDefault="0089379A" w:rsidP="000E0A8F">
            <w:pPr>
              <w:pStyle w:val="TAH"/>
              <w:rPr>
                <w:rFonts w:ascii="Times New Roman" w:hAnsi="Times New Roman"/>
                <w:sz w:val="20"/>
              </w:rPr>
            </w:pPr>
            <w:r w:rsidRPr="004A333F">
              <w:rPr>
                <w:rFonts w:ascii="Times New Roman" w:hAnsi="Times New Roman"/>
                <w:sz w:val="20"/>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2056BAC1" w14:textId="77777777" w:rsidR="0089379A" w:rsidRPr="004A333F" w:rsidRDefault="0089379A" w:rsidP="000E0A8F">
            <w:pPr>
              <w:pStyle w:val="TAH"/>
              <w:rPr>
                <w:rFonts w:ascii="Times New Roman" w:hAnsi="Times New Roman"/>
                <w:sz w:val="20"/>
              </w:rPr>
            </w:pPr>
            <w:r w:rsidRPr="004A333F">
              <w:rPr>
                <w:rFonts w:ascii="Times New Roman" w:hAnsi="Times New Roman"/>
                <w:sz w:val="20"/>
              </w:rPr>
              <w:t>MPR (dB)</w:t>
            </w:r>
          </w:p>
        </w:tc>
      </w:tr>
      <w:tr w:rsidR="0089379A" w:rsidRPr="004A333F" w14:paraId="387E4D4F" w14:textId="77777777" w:rsidTr="000E0A8F">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58D03952" w14:textId="77777777" w:rsidR="0089379A" w:rsidRPr="004A333F" w:rsidRDefault="0089379A" w:rsidP="000E0A8F">
            <w:pPr>
              <w:pStyle w:val="TAH"/>
              <w:rPr>
                <w:rFonts w:ascii="Times New Roman" w:hAnsi="Times New Roman"/>
                <w:sz w:val="20"/>
              </w:rPr>
            </w:pPr>
          </w:p>
        </w:tc>
        <w:tc>
          <w:tcPr>
            <w:tcW w:w="2275" w:type="dxa"/>
            <w:tcBorders>
              <w:top w:val="single" w:sz="4" w:space="0" w:color="auto"/>
              <w:left w:val="single" w:sz="4" w:space="0" w:color="auto"/>
              <w:bottom w:val="single" w:sz="4" w:space="0" w:color="auto"/>
              <w:right w:val="single" w:sz="4" w:space="0" w:color="auto"/>
            </w:tcBorders>
          </w:tcPr>
          <w:p w14:paraId="4733D22F" w14:textId="77777777" w:rsidR="0089379A" w:rsidRPr="004A333F" w:rsidRDefault="0089379A" w:rsidP="000E0A8F">
            <w:pPr>
              <w:pStyle w:val="TAH"/>
              <w:rPr>
                <w:rFonts w:ascii="Times New Roman" w:hAnsi="Times New Roman"/>
                <w:sz w:val="20"/>
              </w:rPr>
            </w:pPr>
            <w:r w:rsidRPr="004A333F">
              <w:rPr>
                <w:rFonts w:ascii="Times New Roman" w:hAnsi="Times New Roman"/>
                <w:sz w:val="20"/>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2A133549" w14:textId="77777777" w:rsidR="0089379A" w:rsidRPr="004A333F" w:rsidRDefault="0089379A" w:rsidP="000E0A8F">
            <w:pPr>
              <w:pStyle w:val="TAH"/>
              <w:rPr>
                <w:rFonts w:ascii="Times New Roman" w:hAnsi="Times New Roman"/>
                <w:sz w:val="20"/>
              </w:rPr>
            </w:pPr>
            <w:r w:rsidRPr="004A333F">
              <w:rPr>
                <w:rFonts w:ascii="Times New Roman" w:hAnsi="Times New Roman"/>
                <w:sz w:val="20"/>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DEFEDB0" w14:textId="77777777" w:rsidR="0089379A" w:rsidRPr="004A333F" w:rsidRDefault="0089379A" w:rsidP="000E0A8F">
            <w:pPr>
              <w:pStyle w:val="TAH"/>
              <w:rPr>
                <w:rFonts w:ascii="Times New Roman" w:hAnsi="Times New Roman"/>
                <w:sz w:val="20"/>
              </w:rPr>
            </w:pPr>
            <w:r w:rsidRPr="004A333F">
              <w:rPr>
                <w:rFonts w:ascii="Times New Roman" w:hAnsi="Times New Roman"/>
                <w:sz w:val="20"/>
              </w:rPr>
              <w:t>Inner RB allocations</w:t>
            </w:r>
          </w:p>
        </w:tc>
      </w:tr>
      <w:tr w:rsidR="0089379A" w:rsidRPr="004A333F" w14:paraId="4FE30267" w14:textId="77777777" w:rsidTr="000E0A8F">
        <w:trPr>
          <w:jc w:val="center"/>
        </w:trPr>
        <w:tc>
          <w:tcPr>
            <w:tcW w:w="1065" w:type="dxa"/>
            <w:tcBorders>
              <w:top w:val="single" w:sz="4" w:space="0" w:color="auto"/>
              <w:left w:val="single" w:sz="4" w:space="0" w:color="auto"/>
              <w:bottom w:val="nil"/>
              <w:right w:val="single" w:sz="4" w:space="0" w:color="auto"/>
            </w:tcBorders>
            <w:hideMark/>
          </w:tcPr>
          <w:p w14:paraId="60689767" w14:textId="77777777" w:rsidR="0089379A" w:rsidRPr="004A333F" w:rsidRDefault="0089379A" w:rsidP="000E0A8F">
            <w:pPr>
              <w:pStyle w:val="TAL"/>
              <w:rPr>
                <w:rFonts w:ascii="Times New Roman" w:hAnsi="Times New Roman"/>
                <w:sz w:val="20"/>
              </w:rPr>
            </w:pPr>
            <w:r w:rsidRPr="004A333F">
              <w:rPr>
                <w:rFonts w:ascii="Times New Roman" w:hAnsi="Times New Roman"/>
                <w:sz w:val="20"/>
              </w:rPr>
              <w:t>DFT-s-OFDM</w:t>
            </w:r>
          </w:p>
        </w:tc>
        <w:tc>
          <w:tcPr>
            <w:tcW w:w="1559" w:type="dxa"/>
            <w:tcBorders>
              <w:top w:val="single" w:sz="4" w:space="0" w:color="auto"/>
              <w:left w:val="single" w:sz="4" w:space="0" w:color="auto"/>
              <w:bottom w:val="nil"/>
              <w:right w:val="single" w:sz="4" w:space="0" w:color="auto"/>
            </w:tcBorders>
            <w:hideMark/>
          </w:tcPr>
          <w:p w14:paraId="2785441A"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Pi/2 BPSK</w:t>
            </w:r>
            <w:r w:rsidRPr="004A333F">
              <w:rPr>
                <w:rFonts w:ascii="Times New Roman" w:eastAsia="MS Mincho" w:hAnsi="Times New Roman"/>
                <w:sz w:val="20"/>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3E9272A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hideMark/>
          </w:tcPr>
          <w:p w14:paraId="13468A3B"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0.5</w:t>
            </w:r>
          </w:p>
        </w:tc>
        <w:tc>
          <w:tcPr>
            <w:tcW w:w="2123" w:type="dxa"/>
            <w:tcBorders>
              <w:top w:val="single" w:sz="4" w:space="0" w:color="auto"/>
              <w:left w:val="single" w:sz="4" w:space="0" w:color="auto"/>
              <w:bottom w:val="single" w:sz="4" w:space="0" w:color="auto"/>
              <w:right w:val="single" w:sz="4" w:space="0" w:color="auto"/>
            </w:tcBorders>
            <w:hideMark/>
          </w:tcPr>
          <w:p w14:paraId="1431A711" w14:textId="77777777" w:rsidR="0089379A" w:rsidRPr="004A333F" w:rsidRDefault="0089379A" w:rsidP="000E0A8F">
            <w:pPr>
              <w:keepNext/>
              <w:keepLines/>
              <w:jc w:val="center"/>
            </w:pPr>
            <w:r w:rsidRPr="004A333F">
              <w:t>0</w:t>
            </w:r>
          </w:p>
        </w:tc>
      </w:tr>
      <w:tr w:rsidR="0089379A" w:rsidRPr="004A333F" w14:paraId="2B61DD48" w14:textId="77777777" w:rsidTr="000E0A8F">
        <w:trPr>
          <w:jc w:val="center"/>
        </w:trPr>
        <w:tc>
          <w:tcPr>
            <w:tcW w:w="1065" w:type="dxa"/>
            <w:tcBorders>
              <w:top w:val="nil"/>
              <w:left w:val="single" w:sz="4" w:space="0" w:color="auto"/>
              <w:bottom w:val="nil"/>
              <w:right w:val="single" w:sz="4" w:space="0" w:color="auto"/>
            </w:tcBorders>
          </w:tcPr>
          <w:p w14:paraId="52E01158"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79063455"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7E129923"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hideMark/>
          </w:tcPr>
          <w:p w14:paraId="2A89C216"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0</w:t>
            </w:r>
          </w:p>
        </w:tc>
        <w:tc>
          <w:tcPr>
            <w:tcW w:w="2123" w:type="dxa"/>
            <w:tcBorders>
              <w:top w:val="single" w:sz="4" w:space="0" w:color="auto"/>
              <w:left w:val="single" w:sz="4" w:space="0" w:color="auto"/>
              <w:bottom w:val="single" w:sz="4" w:space="0" w:color="auto"/>
              <w:right w:val="single" w:sz="4" w:space="0" w:color="auto"/>
            </w:tcBorders>
            <w:hideMark/>
          </w:tcPr>
          <w:p w14:paraId="01E78EE7" w14:textId="77777777" w:rsidR="0089379A" w:rsidRPr="004A333F" w:rsidRDefault="0089379A" w:rsidP="000E0A8F">
            <w:pPr>
              <w:keepNext/>
              <w:keepLines/>
              <w:jc w:val="center"/>
            </w:pPr>
            <w:r w:rsidRPr="004A333F">
              <w:t>0</w:t>
            </w:r>
          </w:p>
        </w:tc>
      </w:tr>
      <w:tr w:rsidR="0089379A" w:rsidRPr="004A333F" w14:paraId="32CEA28A" w14:textId="77777777" w:rsidTr="000E0A8F">
        <w:trPr>
          <w:jc w:val="center"/>
        </w:trPr>
        <w:tc>
          <w:tcPr>
            <w:tcW w:w="1065" w:type="dxa"/>
            <w:tcBorders>
              <w:top w:val="nil"/>
              <w:left w:val="single" w:sz="4" w:space="0" w:color="auto"/>
              <w:bottom w:val="nil"/>
              <w:right w:val="single" w:sz="4" w:space="0" w:color="auto"/>
            </w:tcBorders>
            <w:hideMark/>
          </w:tcPr>
          <w:p w14:paraId="6472D0D3"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23C20BF1"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QPSK</w:t>
            </w:r>
          </w:p>
        </w:tc>
        <w:tc>
          <w:tcPr>
            <w:tcW w:w="2275" w:type="dxa"/>
            <w:tcBorders>
              <w:top w:val="single" w:sz="4" w:space="0" w:color="auto"/>
              <w:left w:val="single" w:sz="4" w:space="0" w:color="auto"/>
              <w:bottom w:val="single" w:sz="4" w:space="0" w:color="auto"/>
              <w:right w:val="single" w:sz="4" w:space="0" w:color="auto"/>
            </w:tcBorders>
            <w:hideMark/>
          </w:tcPr>
          <w:p w14:paraId="6650D57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tcPr>
          <w:p w14:paraId="461B44C6"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1</w:t>
            </w:r>
          </w:p>
        </w:tc>
        <w:tc>
          <w:tcPr>
            <w:tcW w:w="2123" w:type="dxa"/>
            <w:tcBorders>
              <w:top w:val="single" w:sz="4" w:space="0" w:color="auto"/>
              <w:left w:val="single" w:sz="4" w:space="0" w:color="auto"/>
              <w:bottom w:val="single" w:sz="4" w:space="0" w:color="auto"/>
              <w:right w:val="single" w:sz="4" w:space="0" w:color="auto"/>
            </w:tcBorders>
            <w:hideMark/>
          </w:tcPr>
          <w:p w14:paraId="1F2A3F64" w14:textId="77777777" w:rsidR="0089379A" w:rsidRPr="004A333F" w:rsidRDefault="0089379A" w:rsidP="000E0A8F">
            <w:pPr>
              <w:keepNext/>
              <w:keepLines/>
              <w:jc w:val="center"/>
            </w:pPr>
            <w:r w:rsidRPr="004A333F">
              <w:t>0</w:t>
            </w:r>
          </w:p>
        </w:tc>
      </w:tr>
      <w:tr w:rsidR="0089379A" w:rsidRPr="004A333F" w14:paraId="5D525ECC" w14:textId="77777777" w:rsidTr="000E0A8F">
        <w:trPr>
          <w:jc w:val="center"/>
        </w:trPr>
        <w:tc>
          <w:tcPr>
            <w:tcW w:w="1065" w:type="dxa"/>
            <w:tcBorders>
              <w:top w:val="nil"/>
              <w:left w:val="single" w:sz="4" w:space="0" w:color="auto"/>
              <w:bottom w:val="nil"/>
              <w:right w:val="single" w:sz="4" w:space="0" w:color="auto"/>
            </w:tcBorders>
            <w:hideMark/>
          </w:tcPr>
          <w:p w14:paraId="3C3E5F5A"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3FDCC3A8"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16 QAM</w:t>
            </w:r>
          </w:p>
        </w:tc>
        <w:tc>
          <w:tcPr>
            <w:tcW w:w="2275" w:type="dxa"/>
            <w:tcBorders>
              <w:top w:val="single" w:sz="4" w:space="0" w:color="auto"/>
              <w:left w:val="single" w:sz="4" w:space="0" w:color="auto"/>
              <w:bottom w:val="single" w:sz="4" w:space="0" w:color="auto"/>
              <w:right w:val="single" w:sz="4" w:space="0" w:color="auto"/>
            </w:tcBorders>
            <w:hideMark/>
          </w:tcPr>
          <w:p w14:paraId="134AD435"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tcPr>
          <w:p w14:paraId="38BBB65E"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2</w:t>
            </w:r>
          </w:p>
        </w:tc>
        <w:tc>
          <w:tcPr>
            <w:tcW w:w="2123" w:type="dxa"/>
            <w:tcBorders>
              <w:top w:val="single" w:sz="4" w:space="0" w:color="auto"/>
              <w:left w:val="single" w:sz="4" w:space="0" w:color="auto"/>
              <w:bottom w:val="single" w:sz="4" w:space="0" w:color="auto"/>
              <w:right w:val="single" w:sz="4" w:space="0" w:color="auto"/>
            </w:tcBorders>
            <w:hideMark/>
          </w:tcPr>
          <w:p w14:paraId="14500812" w14:textId="77777777" w:rsidR="0089379A" w:rsidRPr="004A333F" w:rsidRDefault="0089379A" w:rsidP="000E0A8F">
            <w:pPr>
              <w:keepNext/>
              <w:keepLines/>
              <w:jc w:val="center"/>
            </w:pPr>
            <w:r w:rsidRPr="004A333F">
              <w:t>≤ 1</w:t>
            </w:r>
          </w:p>
        </w:tc>
      </w:tr>
      <w:tr w:rsidR="0089379A" w:rsidRPr="004A333F" w14:paraId="180BA9C1" w14:textId="77777777" w:rsidTr="000E0A8F">
        <w:trPr>
          <w:jc w:val="center"/>
        </w:trPr>
        <w:tc>
          <w:tcPr>
            <w:tcW w:w="1065" w:type="dxa"/>
            <w:tcBorders>
              <w:top w:val="nil"/>
              <w:left w:val="single" w:sz="4" w:space="0" w:color="auto"/>
              <w:bottom w:val="nil"/>
              <w:right w:val="single" w:sz="4" w:space="0" w:color="auto"/>
            </w:tcBorders>
            <w:hideMark/>
          </w:tcPr>
          <w:p w14:paraId="3C0BA428"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25A56986"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64 QAM</w:t>
            </w:r>
          </w:p>
        </w:tc>
        <w:tc>
          <w:tcPr>
            <w:tcW w:w="2275" w:type="dxa"/>
            <w:tcBorders>
              <w:top w:val="single" w:sz="4" w:space="0" w:color="auto"/>
              <w:left w:val="single" w:sz="4" w:space="0" w:color="auto"/>
              <w:bottom w:val="single" w:sz="4" w:space="0" w:color="auto"/>
              <w:right w:val="single" w:sz="4" w:space="0" w:color="auto"/>
            </w:tcBorders>
            <w:hideMark/>
          </w:tcPr>
          <w:p w14:paraId="55CE0F19"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D260E9E"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2.5</w:t>
            </w:r>
          </w:p>
        </w:tc>
      </w:tr>
      <w:tr w:rsidR="0089379A" w:rsidRPr="004A333F" w14:paraId="3EC0F801" w14:textId="77777777" w:rsidTr="000E0A8F">
        <w:trPr>
          <w:jc w:val="center"/>
        </w:trPr>
        <w:tc>
          <w:tcPr>
            <w:tcW w:w="1065" w:type="dxa"/>
            <w:tcBorders>
              <w:top w:val="nil"/>
              <w:left w:val="single" w:sz="4" w:space="0" w:color="auto"/>
              <w:bottom w:val="single" w:sz="4" w:space="0" w:color="auto"/>
              <w:right w:val="single" w:sz="4" w:space="0" w:color="auto"/>
            </w:tcBorders>
            <w:hideMark/>
          </w:tcPr>
          <w:p w14:paraId="127C093D"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3B7B1E82" w14:textId="77777777" w:rsidR="0089379A" w:rsidRPr="004A333F" w:rsidRDefault="0089379A" w:rsidP="000E0A8F">
            <w:pPr>
              <w:pStyle w:val="TAC"/>
              <w:rPr>
                <w:rFonts w:ascii="Times New Roman" w:hAnsi="Times New Roman"/>
                <w:sz w:val="20"/>
              </w:rPr>
            </w:pPr>
            <w:r w:rsidRPr="004A333F">
              <w:rPr>
                <w:rFonts w:ascii="Times New Roman" w:hAnsi="Times New Roman"/>
                <w:sz w:val="20"/>
                <w:lang w:eastAsia="zh-CN"/>
              </w:rPr>
              <w:t>256</w:t>
            </w:r>
            <w:r w:rsidRPr="004A333F">
              <w:rPr>
                <w:rFonts w:ascii="Times New Roman" w:hAnsi="Times New Roman"/>
                <w:sz w:val="20"/>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7D4E47A6"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F1FB71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4.5</w:t>
            </w:r>
          </w:p>
        </w:tc>
      </w:tr>
      <w:tr w:rsidR="0089379A" w:rsidRPr="004A333F" w14:paraId="491D9076" w14:textId="77777777" w:rsidTr="000E0A8F">
        <w:trPr>
          <w:jc w:val="center"/>
        </w:trPr>
        <w:tc>
          <w:tcPr>
            <w:tcW w:w="1065" w:type="dxa"/>
            <w:tcBorders>
              <w:top w:val="single" w:sz="4" w:space="0" w:color="auto"/>
              <w:left w:val="single" w:sz="4" w:space="0" w:color="auto"/>
              <w:bottom w:val="nil"/>
              <w:right w:val="single" w:sz="4" w:space="0" w:color="auto"/>
            </w:tcBorders>
            <w:hideMark/>
          </w:tcPr>
          <w:p w14:paraId="0BF70CBE" w14:textId="77777777" w:rsidR="0089379A" w:rsidRPr="004A333F" w:rsidRDefault="0089379A" w:rsidP="000E0A8F">
            <w:pPr>
              <w:pStyle w:val="TAL"/>
              <w:rPr>
                <w:rFonts w:ascii="Times New Roman" w:hAnsi="Times New Roman"/>
                <w:sz w:val="20"/>
                <w:lang w:eastAsia="zh-CN"/>
              </w:rPr>
            </w:pPr>
            <w:r w:rsidRPr="004A333F">
              <w:rPr>
                <w:rFonts w:ascii="Times New Roman" w:hAnsi="Times New Roman"/>
                <w:sz w:val="20"/>
              </w:rPr>
              <w:t>CP-OFDM</w:t>
            </w:r>
          </w:p>
        </w:tc>
        <w:tc>
          <w:tcPr>
            <w:tcW w:w="1559" w:type="dxa"/>
            <w:tcBorders>
              <w:top w:val="single" w:sz="4" w:space="0" w:color="auto"/>
              <w:left w:val="single" w:sz="4" w:space="0" w:color="auto"/>
              <w:bottom w:val="single" w:sz="4" w:space="0" w:color="auto"/>
              <w:right w:val="single" w:sz="4" w:space="0" w:color="auto"/>
            </w:tcBorders>
            <w:hideMark/>
          </w:tcPr>
          <w:p w14:paraId="1FB0885A" w14:textId="77777777" w:rsidR="0089379A" w:rsidRPr="004A333F" w:rsidRDefault="0089379A" w:rsidP="000E0A8F">
            <w:pPr>
              <w:pStyle w:val="TAC"/>
              <w:rPr>
                <w:rFonts w:ascii="Times New Roman" w:hAnsi="Times New Roman"/>
                <w:sz w:val="20"/>
                <w:lang w:eastAsia="zh-CN"/>
              </w:rPr>
            </w:pPr>
            <w:r w:rsidRPr="004A333F">
              <w:rPr>
                <w:rFonts w:ascii="Times New Roman" w:hAnsi="Times New Roman"/>
                <w:sz w:val="20"/>
              </w:rPr>
              <w:t>QPSK</w:t>
            </w:r>
          </w:p>
        </w:tc>
        <w:tc>
          <w:tcPr>
            <w:tcW w:w="2275" w:type="dxa"/>
            <w:tcBorders>
              <w:top w:val="single" w:sz="4" w:space="0" w:color="auto"/>
              <w:left w:val="single" w:sz="4" w:space="0" w:color="auto"/>
              <w:bottom w:val="single" w:sz="4" w:space="0" w:color="auto"/>
              <w:right w:val="single" w:sz="4" w:space="0" w:color="auto"/>
            </w:tcBorders>
            <w:hideMark/>
          </w:tcPr>
          <w:p w14:paraId="526BA86E"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tcPr>
          <w:p w14:paraId="07296599"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3</w:t>
            </w:r>
          </w:p>
        </w:tc>
        <w:tc>
          <w:tcPr>
            <w:tcW w:w="2123" w:type="dxa"/>
            <w:tcBorders>
              <w:top w:val="single" w:sz="4" w:space="0" w:color="auto"/>
              <w:left w:val="single" w:sz="4" w:space="0" w:color="auto"/>
              <w:bottom w:val="single" w:sz="4" w:space="0" w:color="auto"/>
              <w:right w:val="single" w:sz="4" w:space="0" w:color="auto"/>
            </w:tcBorders>
            <w:hideMark/>
          </w:tcPr>
          <w:p w14:paraId="5A2B45B1" w14:textId="77777777" w:rsidR="0089379A" w:rsidRPr="004A333F" w:rsidRDefault="0089379A" w:rsidP="000E0A8F">
            <w:pPr>
              <w:keepNext/>
              <w:keepLines/>
              <w:jc w:val="center"/>
            </w:pPr>
            <w:r w:rsidRPr="004A333F">
              <w:t>≤ 1.5</w:t>
            </w:r>
          </w:p>
        </w:tc>
      </w:tr>
      <w:tr w:rsidR="0089379A" w:rsidRPr="004A333F" w14:paraId="2B361553" w14:textId="77777777" w:rsidTr="000E0A8F">
        <w:trPr>
          <w:jc w:val="center"/>
        </w:trPr>
        <w:tc>
          <w:tcPr>
            <w:tcW w:w="1065" w:type="dxa"/>
            <w:tcBorders>
              <w:top w:val="nil"/>
              <w:left w:val="single" w:sz="4" w:space="0" w:color="auto"/>
              <w:bottom w:val="nil"/>
              <w:right w:val="single" w:sz="4" w:space="0" w:color="auto"/>
            </w:tcBorders>
            <w:hideMark/>
          </w:tcPr>
          <w:p w14:paraId="0E3BCDB2"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274EDC70" w14:textId="77777777" w:rsidR="0089379A" w:rsidRPr="004A333F" w:rsidRDefault="0089379A" w:rsidP="000E0A8F">
            <w:pPr>
              <w:pStyle w:val="TAC"/>
              <w:rPr>
                <w:rFonts w:ascii="Times New Roman" w:hAnsi="Times New Roman"/>
                <w:sz w:val="20"/>
                <w:lang w:eastAsia="zh-CN"/>
              </w:rPr>
            </w:pPr>
            <w:r w:rsidRPr="004A333F">
              <w:rPr>
                <w:rFonts w:ascii="Times New Roman" w:hAnsi="Times New Roman"/>
                <w:sz w:val="20"/>
              </w:rPr>
              <w:t>16 QAM</w:t>
            </w:r>
          </w:p>
        </w:tc>
        <w:tc>
          <w:tcPr>
            <w:tcW w:w="2275" w:type="dxa"/>
            <w:tcBorders>
              <w:top w:val="single" w:sz="4" w:space="0" w:color="auto"/>
              <w:left w:val="single" w:sz="4" w:space="0" w:color="auto"/>
              <w:bottom w:val="single" w:sz="4" w:space="0" w:color="auto"/>
              <w:right w:val="single" w:sz="4" w:space="0" w:color="auto"/>
            </w:tcBorders>
            <w:hideMark/>
          </w:tcPr>
          <w:p w14:paraId="176B8610"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2548" w:type="dxa"/>
            <w:tcBorders>
              <w:top w:val="single" w:sz="4" w:space="0" w:color="auto"/>
              <w:left w:val="single" w:sz="4" w:space="0" w:color="auto"/>
              <w:bottom w:val="single" w:sz="4" w:space="0" w:color="auto"/>
              <w:right w:val="single" w:sz="4" w:space="0" w:color="auto"/>
            </w:tcBorders>
          </w:tcPr>
          <w:p w14:paraId="1302D155"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3</w:t>
            </w:r>
          </w:p>
        </w:tc>
        <w:tc>
          <w:tcPr>
            <w:tcW w:w="2123" w:type="dxa"/>
            <w:tcBorders>
              <w:top w:val="single" w:sz="4" w:space="0" w:color="auto"/>
              <w:left w:val="single" w:sz="4" w:space="0" w:color="auto"/>
              <w:bottom w:val="single" w:sz="4" w:space="0" w:color="auto"/>
              <w:right w:val="single" w:sz="4" w:space="0" w:color="auto"/>
            </w:tcBorders>
            <w:hideMark/>
          </w:tcPr>
          <w:p w14:paraId="6E256239" w14:textId="77777777" w:rsidR="0089379A" w:rsidRPr="004A333F" w:rsidRDefault="0089379A" w:rsidP="000E0A8F">
            <w:pPr>
              <w:keepNext/>
              <w:keepLines/>
              <w:jc w:val="center"/>
            </w:pPr>
            <w:r w:rsidRPr="004A333F">
              <w:t>≤ 2</w:t>
            </w:r>
          </w:p>
        </w:tc>
      </w:tr>
      <w:tr w:rsidR="0089379A" w:rsidRPr="004A333F" w14:paraId="147FB78B" w14:textId="77777777" w:rsidTr="000E0A8F">
        <w:trPr>
          <w:jc w:val="center"/>
        </w:trPr>
        <w:tc>
          <w:tcPr>
            <w:tcW w:w="1065" w:type="dxa"/>
            <w:tcBorders>
              <w:top w:val="nil"/>
              <w:left w:val="single" w:sz="4" w:space="0" w:color="auto"/>
              <w:bottom w:val="nil"/>
              <w:right w:val="single" w:sz="4" w:space="0" w:color="auto"/>
            </w:tcBorders>
            <w:hideMark/>
          </w:tcPr>
          <w:p w14:paraId="54DCEB4A"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3A3B636E" w14:textId="77777777" w:rsidR="0089379A" w:rsidRPr="004A333F" w:rsidRDefault="0089379A" w:rsidP="000E0A8F">
            <w:pPr>
              <w:pStyle w:val="TAC"/>
              <w:rPr>
                <w:rFonts w:ascii="Times New Roman" w:hAnsi="Times New Roman"/>
                <w:sz w:val="20"/>
              </w:rPr>
            </w:pPr>
            <w:r w:rsidRPr="004A333F">
              <w:rPr>
                <w:rFonts w:ascii="Times New Roman" w:hAnsi="Times New Roman"/>
                <w:sz w:val="20"/>
                <w:lang w:eastAsia="zh-CN"/>
              </w:rPr>
              <w:t>64</w:t>
            </w:r>
            <w:r w:rsidRPr="004A333F">
              <w:rPr>
                <w:rFonts w:ascii="Times New Roman" w:hAnsi="Times New Roman"/>
                <w:sz w:val="20"/>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3623BD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A9F835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3.5</w:t>
            </w:r>
          </w:p>
        </w:tc>
      </w:tr>
      <w:tr w:rsidR="0089379A" w:rsidRPr="004A333F" w14:paraId="41CF8CE6" w14:textId="77777777" w:rsidTr="000E0A8F">
        <w:trPr>
          <w:jc w:val="center"/>
        </w:trPr>
        <w:tc>
          <w:tcPr>
            <w:tcW w:w="1065" w:type="dxa"/>
            <w:tcBorders>
              <w:top w:val="nil"/>
              <w:left w:val="single" w:sz="4" w:space="0" w:color="auto"/>
              <w:bottom w:val="single" w:sz="4" w:space="0" w:color="auto"/>
              <w:right w:val="single" w:sz="4" w:space="0" w:color="auto"/>
            </w:tcBorders>
            <w:hideMark/>
          </w:tcPr>
          <w:p w14:paraId="02B115C8" w14:textId="77777777" w:rsidR="0089379A" w:rsidRPr="004A333F" w:rsidRDefault="0089379A" w:rsidP="000E0A8F">
            <w:pPr>
              <w:pStyle w:val="TAL"/>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hideMark/>
          </w:tcPr>
          <w:p w14:paraId="5E9D5BAB"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256 QAM</w:t>
            </w:r>
          </w:p>
        </w:tc>
        <w:tc>
          <w:tcPr>
            <w:tcW w:w="2275" w:type="dxa"/>
            <w:tcBorders>
              <w:top w:val="single" w:sz="4" w:space="0" w:color="auto"/>
              <w:left w:val="single" w:sz="4" w:space="0" w:color="auto"/>
              <w:bottom w:val="single" w:sz="4" w:space="0" w:color="auto"/>
              <w:right w:val="single" w:sz="4" w:space="0" w:color="auto"/>
            </w:tcBorders>
            <w:hideMark/>
          </w:tcPr>
          <w:p w14:paraId="55D289EF"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09028C5D" w14:textId="77777777" w:rsidR="0089379A" w:rsidRPr="004A333F" w:rsidRDefault="0089379A" w:rsidP="000E0A8F">
            <w:pPr>
              <w:pStyle w:val="TAC"/>
              <w:rPr>
                <w:rFonts w:ascii="Times New Roman" w:hAnsi="Times New Roman"/>
                <w:sz w:val="20"/>
              </w:rPr>
            </w:pPr>
            <w:r w:rsidRPr="004A333F">
              <w:rPr>
                <w:rFonts w:ascii="Times New Roman" w:hAnsi="Times New Roman"/>
                <w:sz w:val="20"/>
              </w:rPr>
              <w:t>≤ 6.5</w:t>
            </w:r>
          </w:p>
        </w:tc>
      </w:tr>
      <w:tr w:rsidR="0089379A" w:rsidRPr="004A333F" w14:paraId="01E03AE9" w14:textId="77777777" w:rsidTr="000E0A8F">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525D2779" w14:textId="77777777" w:rsidR="0089379A" w:rsidRPr="004A333F" w:rsidRDefault="0089379A" w:rsidP="000E0A8F">
            <w:pPr>
              <w:pStyle w:val="TAN"/>
              <w:rPr>
                <w:rFonts w:ascii="Times New Roman" w:hAnsi="Times New Roman"/>
                <w:sz w:val="20"/>
              </w:rPr>
            </w:pPr>
            <w:r w:rsidRPr="004A333F">
              <w:rPr>
                <w:rFonts w:ascii="Times New Roman" w:hAnsi="Times New Roman"/>
                <w:sz w:val="20"/>
              </w:rPr>
              <w:t>NOTE 1:</w:t>
            </w:r>
            <w:r w:rsidRPr="004A333F">
              <w:rPr>
                <w:rFonts w:ascii="Times New Roman" w:hAnsi="Times New Roman"/>
                <w:sz w:val="20"/>
              </w:rPr>
              <w:tab/>
              <w:t>MPR for all modulations for Edge RB allocation is defined as following for two distinguished channel bandwidths groups as:</w:t>
            </w:r>
          </w:p>
          <w:p w14:paraId="5AC03794" w14:textId="77777777" w:rsidR="0089379A" w:rsidRPr="004A333F" w:rsidRDefault="0089379A" w:rsidP="000E0A8F">
            <w:pPr>
              <w:pStyle w:val="TAN"/>
              <w:rPr>
                <w:rFonts w:ascii="Times New Roman" w:hAnsi="Times New Roman"/>
                <w:sz w:val="20"/>
                <w:lang w:eastAsia="zh-CN"/>
              </w:rPr>
            </w:pPr>
            <w:r w:rsidRPr="004A333F">
              <w:rPr>
                <w:rFonts w:ascii="Times New Roman" w:hAnsi="Times New Roman"/>
                <w:sz w:val="20"/>
              </w:rPr>
              <w:tab/>
            </w:r>
            <w:r w:rsidRPr="004A333F">
              <w:rPr>
                <w:rFonts w:ascii="Times New Roman" w:hAnsi="Times New Roman"/>
                <w:sz w:val="20"/>
                <w:lang w:eastAsia="zh-CN"/>
              </w:rPr>
              <w:t>Within the &lt;50MHz channel bandwidth group:</w:t>
            </w:r>
          </w:p>
          <w:p w14:paraId="1B2114D1" w14:textId="77777777" w:rsidR="0089379A" w:rsidRPr="004A333F" w:rsidRDefault="0089379A" w:rsidP="000E0A8F">
            <w:pPr>
              <w:pStyle w:val="TAN"/>
              <w:rPr>
                <w:rFonts w:ascii="Times New Roman" w:hAnsi="Times New Roman"/>
                <w:sz w:val="20"/>
                <w:lang w:eastAsia="zh-CN"/>
              </w:rPr>
            </w:pPr>
            <m:oMathPara>
              <m:oMath>
                <m:r>
                  <w:rPr>
                    <w:rFonts w:ascii="Cambria Math" w:hAnsi="Cambria Math"/>
                    <w:sz w:val="20"/>
                    <w:lang w:eastAsia="zh-CN"/>
                  </w:rPr>
                  <m:t xml:space="preserve">                         MPR= CEIL(7.2 dB- 6 dB∙ </m:t>
                </m:r>
                <m:f>
                  <m:fPr>
                    <m:ctrlPr>
                      <w:rPr>
                        <w:rFonts w:ascii="Cambria Math" w:hAnsi="Cambria Math"/>
                        <w:i/>
                        <w:sz w:val="20"/>
                        <w:lang w:eastAsia="zh-CN"/>
                      </w:rPr>
                    </m:ctrlPr>
                  </m:fPr>
                  <m:num>
                    <m:r>
                      <w:rPr>
                        <w:rFonts w:ascii="Cambria Math" w:hAnsi="Cambria Math"/>
                        <w:sz w:val="20"/>
                        <w:lang w:eastAsia="zh-CN"/>
                      </w:rPr>
                      <m:t>CBW</m:t>
                    </m:r>
                  </m:num>
                  <m:den>
                    <m:r>
                      <w:rPr>
                        <w:rFonts w:ascii="Cambria Math" w:hAnsi="Cambria Math"/>
                        <w:sz w:val="20"/>
                        <w:lang w:eastAsia="zh-CN"/>
                      </w:rPr>
                      <m:t>100 MHz</m:t>
                    </m:r>
                  </m:den>
                </m:f>
                <m:r>
                  <w:rPr>
                    <w:rFonts w:ascii="Cambria Math" w:hAnsi="Cambria Math"/>
                    <w:sz w:val="20"/>
                    <w:lang w:eastAsia="zh-CN"/>
                  </w:rPr>
                  <m:t>, 0.5 dB)</m:t>
                </m:r>
              </m:oMath>
            </m:oMathPara>
          </w:p>
          <w:p w14:paraId="5F28468D" w14:textId="77777777" w:rsidR="0089379A" w:rsidRPr="004A333F" w:rsidRDefault="0089379A" w:rsidP="000E0A8F">
            <w:pPr>
              <w:pStyle w:val="TAN"/>
              <w:rPr>
                <w:rFonts w:ascii="Times New Roman" w:hAnsi="Times New Roman"/>
                <w:sz w:val="20"/>
                <w:lang w:eastAsia="zh-CN"/>
              </w:rPr>
            </w:pPr>
            <w:r w:rsidRPr="004A333F">
              <w:rPr>
                <w:rFonts w:ascii="Times New Roman" w:hAnsi="Times New Roman"/>
                <w:sz w:val="20"/>
              </w:rPr>
              <w:tab/>
            </w:r>
            <w:r w:rsidRPr="004A333F">
              <w:rPr>
                <w:rFonts w:ascii="Times New Roman" w:hAnsi="Times New Roman"/>
                <w:sz w:val="20"/>
                <w:lang w:eastAsia="zh-CN"/>
              </w:rPr>
              <w:t>Within the ≥50MHz channel bandwidth group:</w:t>
            </w:r>
          </w:p>
          <w:p w14:paraId="27278B02" w14:textId="77777777" w:rsidR="0089379A" w:rsidRPr="004A333F" w:rsidRDefault="0089379A" w:rsidP="000E0A8F">
            <w:pPr>
              <w:pStyle w:val="TAN"/>
              <w:rPr>
                <w:rFonts w:ascii="Times New Roman" w:hAnsi="Times New Roman"/>
                <w:sz w:val="20"/>
                <w:lang w:eastAsia="zh-CN"/>
              </w:rPr>
            </w:pPr>
            <m:oMathPara>
              <m:oMath>
                <m:r>
                  <w:rPr>
                    <w:rFonts w:ascii="Cambria Math" w:hAnsi="Cambria Math"/>
                    <w:sz w:val="20"/>
                    <w:lang w:eastAsia="zh-CN"/>
                  </w:rPr>
                  <m:t xml:space="preserve">                          MPR= CEIL</m:t>
                </m:r>
                <m:d>
                  <m:dPr>
                    <m:ctrlPr>
                      <w:rPr>
                        <w:rFonts w:ascii="Cambria Math" w:hAnsi="Cambria Math"/>
                        <w:i/>
                        <w:sz w:val="20"/>
                        <w:lang w:eastAsia="zh-CN"/>
                      </w:rPr>
                    </m:ctrlPr>
                  </m:dPr>
                  <m:e>
                    <m:r>
                      <w:rPr>
                        <w:rFonts w:ascii="Cambria Math" w:hAnsi="Cambria Math"/>
                        <w:sz w:val="20"/>
                        <w:lang w:eastAsia="zh-CN"/>
                      </w:rPr>
                      <m:t xml:space="preserve">5.35 dB+3.15 dB∙ </m:t>
                    </m:r>
                    <m:f>
                      <m:fPr>
                        <m:ctrlPr>
                          <w:rPr>
                            <w:rFonts w:ascii="Cambria Math" w:hAnsi="Cambria Math"/>
                            <w:i/>
                            <w:sz w:val="20"/>
                            <w:lang w:eastAsia="zh-CN"/>
                          </w:rPr>
                        </m:ctrlPr>
                      </m:fPr>
                      <m:num>
                        <m:r>
                          <w:rPr>
                            <w:rFonts w:ascii="Cambria Math" w:hAnsi="Cambria Math"/>
                            <w:sz w:val="20"/>
                            <w:lang w:eastAsia="zh-CN"/>
                          </w:rPr>
                          <m:t>CBW</m:t>
                        </m:r>
                      </m:num>
                      <m:den>
                        <m:r>
                          <w:rPr>
                            <w:rFonts w:ascii="Cambria Math" w:hAnsi="Cambria Math"/>
                            <w:sz w:val="20"/>
                            <w:lang w:eastAsia="zh-CN"/>
                          </w:rPr>
                          <m:t>100 MHz</m:t>
                        </m:r>
                      </m:den>
                    </m:f>
                    <m:r>
                      <w:rPr>
                        <w:rFonts w:ascii="Cambria Math" w:hAnsi="Cambria Math"/>
                        <w:sz w:val="20"/>
                        <w:lang w:eastAsia="zh-CN"/>
                      </w:rPr>
                      <m:t>, 0.5 dB</m:t>
                    </m:r>
                  </m:e>
                </m:d>
              </m:oMath>
            </m:oMathPara>
          </w:p>
          <w:p w14:paraId="330C81E7" w14:textId="77777777" w:rsidR="0089379A" w:rsidRPr="004A333F" w:rsidRDefault="0089379A" w:rsidP="000E0A8F">
            <w:pPr>
              <w:pStyle w:val="TAN"/>
              <w:rPr>
                <w:rFonts w:ascii="Times New Roman" w:hAnsi="Times New Roman"/>
                <w:sz w:val="20"/>
                <w:lang w:eastAsia="zh-CN"/>
              </w:rPr>
            </w:pPr>
            <w:r w:rsidRPr="004A333F">
              <w:rPr>
                <w:rFonts w:ascii="Times New Roman" w:hAnsi="Times New Roman"/>
                <w:sz w:val="20"/>
              </w:rPr>
              <w:tab/>
            </w:r>
            <w:r w:rsidRPr="004A333F">
              <w:rPr>
                <w:rFonts w:ascii="Times New Roman" w:hAnsi="Times New Roman"/>
                <w:sz w:val="20"/>
                <w:lang w:eastAsia="zh-CN"/>
              </w:rPr>
              <w:t xml:space="preserve">where </w:t>
            </w:r>
            <w:proofErr w:type="gramStart"/>
            <w:r w:rsidRPr="004A333F">
              <w:rPr>
                <w:rFonts w:ascii="Times New Roman" w:hAnsi="Times New Roman"/>
                <w:sz w:val="20"/>
                <w:lang w:eastAsia="zh-CN"/>
              </w:rPr>
              <w:t>CEIL(</w:t>
            </w:r>
            <w:proofErr w:type="gramEnd"/>
            <w:r w:rsidRPr="004A333F">
              <w:rPr>
                <w:rFonts w:ascii="Times New Roman" w:hAnsi="Times New Roman"/>
                <w:sz w:val="20"/>
                <w:lang w:eastAsia="zh-CN"/>
              </w:rPr>
              <w:t xml:space="preserve">x,0.5 dB) means rounding x upwards to the closest multiple of 0.5 </w:t>
            </w:r>
            <w:proofErr w:type="spellStart"/>
            <w:r w:rsidRPr="004A333F">
              <w:rPr>
                <w:rFonts w:ascii="Times New Roman" w:hAnsi="Times New Roman"/>
                <w:sz w:val="20"/>
                <w:lang w:eastAsia="zh-CN"/>
              </w:rPr>
              <w:t>dB.</w:t>
            </w:r>
            <w:proofErr w:type="spellEnd"/>
          </w:p>
        </w:tc>
      </w:tr>
    </w:tbl>
    <w:p w14:paraId="1240B4C5" w14:textId="77777777" w:rsidR="0089379A" w:rsidRDefault="0089379A" w:rsidP="001A10DB">
      <w:pPr>
        <w:rPr>
          <w:b/>
          <w:lang w:eastAsia="zh-CN"/>
        </w:rPr>
      </w:pPr>
    </w:p>
    <w:p w14:paraId="57639EEB" w14:textId="77777777" w:rsidR="00882D27" w:rsidRPr="002A5244" w:rsidRDefault="00882D27" w:rsidP="00882D27">
      <w:pPr>
        <w:rPr>
          <w:lang w:eastAsia="zh-CN"/>
        </w:rPr>
      </w:pPr>
      <w:r>
        <w:rPr>
          <w:lang w:eastAsia="zh-CN"/>
        </w:rPr>
        <w:t xml:space="preserve">However, in </w:t>
      </w:r>
      <w:r w:rsidR="00677698">
        <w:rPr>
          <w:lang w:eastAsia="zh-CN"/>
        </w:rPr>
        <w:t>NR</w:t>
      </w:r>
      <w:r>
        <w:rPr>
          <w:lang w:eastAsia="zh-CN"/>
        </w:rPr>
        <w:t>, above MPR requirements were derived from one PC1 PA linearity, which are not appropriate for 4Tx 32dBm case. It needs new MPR evaluation for 4Tx 32dBm case.</w:t>
      </w:r>
    </w:p>
    <w:p w14:paraId="23D47471" w14:textId="77777777" w:rsidR="002A5244" w:rsidRPr="00B3792B" w:rsidRDefault="002A5244" w:rsidP="00B3792B">
      <w:pPr>
        <w:jc w:val="both"/>
        <w:rPr>
          <w:lang w:eastAsia="zh-CN"/>
        </w:rPr>
      </w:pPr>
      <w:r w:rsidRPr="00B3792B">
        <w:rPr>
          <w:lang w:eastAsia="zh-CN"/>
        </w:rPr>
        <w:t xml:space="preserve">Evaluating </w:t>
      </w:r>
      <w:r w:rsidR="00B3792B" w:rsidRPr="00B3792B">
        <w:rPr>
          <w:rFonts w:eastAsiaTheme="minorEastAsia"/>
          <w:lang w:eastAsia="zh-CN"/>
        </w:rPr>
        <w:t>MPR</w:t>
      </w:r>
      <w:r w:rsidR="00B3792B" w:rsidRPr="00B3792B">
        <w:rPr>
          <w:lang w:eastAsia="zh-CN"/>
        </w:rPr>
        <w:t xml:space="preserve"> </w:t>
      </w:r>
      <w:r w:rsidRPr="00B3792B">
        <w:rPr>
          <w:lang w:eastAsia="zh-CN"/>
        </w:rPr>
        <w:t xml:space="preserve">for a </w:t>
      </w:r>
      <w:r w:rsidR="00B3792B" w:rsidRPr="00B3792B">
        <w:rPr>
          <w:lang w:eastAsia="zh-CN"/>
        </w:rPr>
        <w:t>4Tx</w:t>
      </w:r>
      <w:r w:rsidRPr="00B3792B">
        <w:rPr>
          <w:lang w:eastAsia="zh-CN"/>
        </w:rPr>
        <w:t xml:space="preserve"> system in 3GPP standards is a multi-faceted process. The core principle is that MPR allows a UE to reduce its maximum transmit power under specific conditions to maintain signal quality and comply with regulatory limits. For 4Tx, the assessment must account for the signal waveform (e.g., higher PAR with CP-OFDM versus DFT-s-OFDM), the modulation order (e.g., higher MPR for 256QAM than QPSK), the number and location of allocated Resource Blocks (RBs), and the critical impact of multiple </w:t>
      </w:r>
      <w:r w:rsidR="00882D27" w:rsidRPr="00B3792B">
        <w:rPr>
          <w:lang w:eastAsia="zh-CN"/>
        </w:rPr>
        <w:t>PAs</w:t>
      </w:r>
      <w:r w:rsidRPr="00B3792B">
        <w:rPr>
          <w:lang w:eastAsia="zh-CN"/>
        </w:rPr>
        <w:t xml:space="preserve"> transmitting simultaneously. The aggregate signal from these parallel transmissions can lead to a higher PAPR, often necessitating a greater MPR than in single-</w:t>
      </w:r>
      <w:r w:rsidR="00B3792B">
        <w:rPr>
          <w:lang w:eastAsia="zh-CN"/>
        </w:rPr>
        <w:t>PA</w:t>
      </w:r>
      <w:r w:rsidRPr="00B3792B">
        <w:rPr>
          <w:lang w:eastAsia="zh-CN"/>
        </w:rPr>
        <w:t xml:space="preserve"> scenarios.</w:t>
      </w:r>
    </w:p>
    <w:p w14:paraId="2883C913" w14:textId="77777777" w:rsidR="002A5244" w:rsidRPr="009320C5" w:rsidRDefault="00677698" w:rsidP="002A5244">
      <w:pPr>
        <w:rPr>
          <w:rFonts w:eastAsia="宋体"/>
          <w:b/>
          <w:lang w:eastAsia="zh-CN"/>
        </w:rPr>
      </w:pPr>
      <w:r w:rsidRPr="009320C5">
        <w:rPr>
          <w:b/>
          <w:lang w:eastAsia="zh-CN"/>
        </w:rPr>
        <w:lastRenderedPageBreak/>
        <w:t>Observation</w:t>
      </w:r>
      <w:r w:rsidR="00B3792B">
        <w:rPr>
          <w:b/>
          <w:lang w:eastAsia="zh-CN"/>
        </w:rPr>
        <w:t xml:space="preserve"> 1</w:t>
      </w:r>
      <w:r w:rsidRPr="009320C5">
        <w:rPr>
          <w:b/>
          <w:lang w:eastAsia="zh-CN"/>
        </w:rPr>
        <w:t xml:space="preserve">: </w:t>
      </w:r>
      <w:r w:rsidRPr="009320C5">
        <w:rPr>
          <w:rFonts w:eastAsiaTheme="minorEastAsia"/>
          <w:b/>
          <w:lang w:eastAsia="zh-CN"/>
        </w:rPr>
        <w:t xml:space="preserve">Currently, in TS 38.101-1, the MPR requirements are based on one PC1 PA linearity, which are not suitable for 4Tx 32dBm case. </w:t>
      </w:r>
    </w:p>
    <w:p w14:paraId="62C5B651" w14:textId="77777777" w:rsidR="002A5244" w:rsidRDefault="002A5244" w:rsidP="001A10DB">
      <w:pPr>
        <w:rPr>
          <w:b/>
          <w:lang w:val="en-US" w:eastAsia="zh-CN"/>
        </w:rPr>
      </w:pPr>
      <w:r>
        <w:rPr>
          <w:b/>
          <w:lang w:val="en-US" w:eastAsia="zh-CN"/>
        </w:rPr>
        <w:t>Proposal</w:t>
      </w:r>
      <w:r w:rsidR="00B3792B">
        <w:rPr>
          <w:b/>
          <w:lang w:val="en-US" w:eastAsia="zh-CN"/>
        </w:rPr>
        <w:t xml:space="preserve"> 2</w:t>
      </w:r>
      <w:r>
        <w:rPr>
          <w:b/>
          <w:lang w:val="en-US" w:eastAsia="zh-CN"/>
        </w:rPr>
        <w:t xml:space="preserve">: It is suggested to </w:t>
      </w:r>
      <w:r w:rsidR="00882D27">
        <w:rPr>
          <w:b/>
          <w:lang w:val="en-US" w:eastAsia="zh-CN"/>
        </w:rPr>
        <w:t>re-evaluate</w:t>
      </w:r>
      <w:r>
        <w:rPr>
          <w:b/>
          <w:lang w:val="en-US" w:eastAsia="zh-CN"/>
        </w:rPr>
        <w:t xml:space="preserve"> MPR for</w:t>
      </w:r>
      <w:r w:rsidR="00677698">
        <w:rPr>
          <w:b/>
          <w:lang w:val="en-US" w:eastAsia="zh-CN"/>
        </w:rPr>
        <w:t xml:space="preserve"> PC1 with 4Tx for FWA UE</w:t>
      </w:r>
      <w:r>
        <w:rPr>
          <w:b/>
          <w:lang w:val="en-US" w:eastAsia="zh-CN"/>
        </w:rPr>
        <w:t>.</w:t>
      </w:r>
    </w:p>
    <w:p w14:paraId="55F02827" w14:textId="77777777" w:rsidR="001B05F1" w:rsidRDefault="006B1F8E" w:rsidP="00A84E86">
      <w:pPr>
        <w:jc w:val="both"/>
        <w:rPr>
          <w:lang w:val="en-US" w:eastAsia="zh-CN"/>
        </w:rPr>
      </w:pPr>
      <w:r w:rsidRPr="006B1F8E">
        <w:rPr>
          <w:lang w:val="en-US" w:eastAsia="zh-CN"/>
        </w:rPr>
        <w:t>For 4Tx UL MIMO &amp;</w:t>
      </w:r>
      <w:proofErr w:type="spellStart"/>
      <w:r w:rsidRPr="006B1F8E">
        <w:rPr>
          <w:lang w:val="en-US" w:eastAsia="zh-CN"/>
        </w:rPr>
        <w:t>TxD</w:t>
      </w:r>
      <w:proofErr w:type="spellEnd"/>
      <w:r w:rsidRPr="006B1F8E">
        <w:rPr>
          <w:lang w:val="en-US" w:eastAsia="zh-CN"/>
        </w:rPr>
        <w:t xml:space="preserve">, </w:t>
      </w:r>
      <w:r>
        <w:rPr>
          <w:lang w:val="en-US" w:eastAsia="zh-CN"/>
        </w:rPr>
        <w:t xml:space="preserve">RAN4 had extensive discussion on PC1.5 with 4*23 dBm in Rel-18. It would be a lot easier for specifying requirements </w:t>
      </w:r>
      <w:r w:rsidR="00A84E86">
        <w:rPr>
          <w:lang w:val="en-US" w:eastAsia="zh-CN"/>
        </w:rPr>
        <w:t xml:space="preserve">for </w:t>
      </w:r>
      <w:r>
        <w:rPr>
          <w:lang w:val="en-US" w:eastAsia="zh-CN"/>
        </w:rPr>
        <w:t>PC1 with 4*26dBm with the old experience in Rel-18.</w:t>
      </w:r>
      <w:r w:rsidR="007A6C77">
        <w:rPr>
          <w:lang w:val="en-US" w:eastAsia="zh-CN"/>
        </w:rPr>
        <w:t xml:space="preserve"> The core RF requirements and methodologies established for PC1 with 4*23dBm provide a validated and adaptable foundation for the more challenging PC1 for FWA UE.</w:t>
      </w:r>
      <w:r>
        <w:rPr>
          <w:lang w:val="en-US" w:eastAsia="zh-CN"/>
        </w:rPr>
        <w:t xml:space="preserve"> The total workload for this part would not be heavy. For maximum output power for UL MIMO &amp; </w:t>
      </w:r>
      <w:proofErr w:type="spellStart"/>
      <w:r>
        <w:rPr>
          <w:lang w:val="en-US" w:eastAsia="zh-CN"/>
        </w:rPr>
        <w:t>TxD</w:t>
      </w:r>
      <w:proofErr w:type="spellEnd"/>
      <w:r>
        <w:rPr>
          <w:lang w:val="en-US" w:eastAsia="zh-CN"/>
        </w:rPr>
        <w:t xml:space="preserve">, it is defined as sum of each Tx, which depends on the discussion of reusing the PC1 definition. For </w:t>
      </w:r>
      <w:r w:rsidR="00A84E86">
        <w:rPr>
          <w:lang w:val="en-US" w:eastAsia="zh-CN"/>
        </w:rPr>
        <w:t xml:space="preserve">MPR evaluations, it needs further evaluation based on 4*26 PA configurations for FWA UE. For other requirements or descriptions, we think </w:t>
      </w:r>
      <w:r w:rsidR="007A6C77">
        <w:rPr>
          <w:lang w:val="en-US" w:eastAsia="zh-CN"/>
        </w:rPr>
        <w:t>minimal change</w:t>
      </w:r>
      <w:r w:rsidR="00A84E86">
        <w:rPr>
          <w:lang w:val="en-US" w:eastAsia="zh-CN"/>
        </w:rPr>
        <w:t xml:space="preserve"> is needed.</w:t>
      </w:r>
    </w:p>
    <w:p w14:paraId="79413B21" w14:textId="2F950A11" w:rsidR="001368C4" w:rsidRPr="007A6C77" w:rsidRDefault="00A84E86" w:rsidP="007A6C77">
      <w:pPr>
        <w:jc w:val="both"/>
        <w:rPr>
          <w:b/>
          <w:lang w:val="en-US" w:eastAsia="zh-CN"/>
        </w:rPr>
      </w:pPr>
      <w:bookmarkStart w:id="4" w:name="_Hlk210320260"/>
      <w:r w:rsidRPr="00A84E86">
        <w:rPr>
          <w:b/>
          <w:lang w:val="en-US" w:eastAsia="zh-CN"/>
        </w:rPr>
        <w:t xml:space="preserve">Observation </w:t>
      </w:r>
      <w:r w:rsidR="00B3792B">
        <w:rPr>
          <w:b/>
          <w:lang w:val="en-US" w:eastAsia="zh-CN"/>
        </w:rPr>
        <w:t>2</w:t>
      </w:r>
      <w:r w:rsidRPr="00A84E86">
        <w:rPr>
          <w:b/>
          <w:lang w:val="en-US" w:eastAsia="zh-CN"/>
        </w:rPr>
        <w:t>. Leveraging the substantial experience gained from specifying 4T</w:t>
      </w:r>
      <w:r w:rsidR="007A6C77">
        <w:rPr>
          <w:b/>
          <w:lang w:val="en-US" w:eastAsia="zh-CN"/>
        </w:rPr>
        <w:t>x</w:t>
      </w:r>
      <w:r w:rsidRPr="00A84E86">
        <w:rPr>
          <w:b/>
          <w:lang w:val="en-US" w:eastAsia="zh-CN"/>
        </w:rPr>
        <w:t xml:space="preserve"> MIMO</w:t>
      </w:r>
      <w:r w:rsidR="007A6C77">
        <w:rPr>
          <w:b/>
          <w:lang w:val="en-US" w:eastAsia="zh-CN"/>
        </w:rPr>
        <w:t>&amp;TxD</w:t>
      </w:r>
      <w:r w:rsidRPr="00A84E86">
        <w:rPr>
          <w:b/>
          <w:lang w:val="en-US" w:eastAsia="zh-CN"/>
        </w:rPr>
        <w:t xml:space="preserve"> for </w:t>
      </w:r>
      <w:r w:rsidR="007A6C77">
        <w:rPr>
          <w:b/>
          <w:lang w:val="en-US" w:eastAsia="zh-CN"/>
        </w:rPr>
        <w:t xml:space="preserve">PC1.5 </w:t>
      </w:r>
      <w:r w:rsidRPr="00A84E86">
        <w:rPr>
          <w:b/>
          <w:lang w:val="en-US" w:eastAsia="zh-CN"/>
        </w:rPr>
        <w:t>in Rel-18, the standardization effort required to define 4T</w:t>
      </w:r>
      <w:r w:rsidR="007A6C77">
        <w:rPr>
          <w:b/>
          <w:lang w:val="en-US" w:eastAsia="zh-CN"/>
        </w:rPr>
        <w:t>x</w:t>
      </w:r>
      <w:r w:rsidRPr="00A84E86">
        <w:rPr>
          <w:b/>
          <w:lang w:val="en-US" w:eastAsia="zh-CN"/>
        </w:rPr>
        <w:t xml:space="preserve"> MIMO</w:t>
      </w:r>
      <w:r w:rsidR="007A6C77">
        <w:rPr>
          <w:b/>
          <w:lang w:val="en-US" w:eastAsia="zh-CN"/>
        </w:rPr>
        <w:t>&amp;TxD</w:t>
      </w:r>
      <w:r w:rsidRPr="00A84E86">
        <w:rPr>
          <w:b/>
          <w:lang w:val="en-US" w:eastAsia="zh-CN"/>
        </w:rPr>
        <w:t xml:space="preserve"> for </w:t>
      </w:r>
      <w:r w:rsidR="007A6C77">
        <w:rPr>
          <w:b/>
          <w:lang w:val="en-US" w:eastAsia="zh-CN"/>
        </w:rPr>
        <w:t>PC1</w:t>
      </w:r>
      <w:r w:rsidRPr="00A84E86">
        <w:rPr>
          <w:b/>
          <w:lang w:val="en-US" w:eastAsia="zh-CN"/>
        </w:rPr>
        <w:t xml:space="preserve"> in Rel-20 is </w:t>
      </w:r>
      <w:r w:rsidR="007A6C77">
        <w:rPr>
          <w:b/>
          <w:lang w:val="en-US" w:eastAsia="zh-CN"/>
        </w:rPr>
        <w:t>expected</w:t>
      </w:r>
      <w:r w:rsidRPr="00A84E86">
        <w:rPr>
          <w:b/>
          <w:lang w:val="en-US" w:eastAsia="zh-CN"/>
        </w:rPr>
        <w:t xml:space="preserve"> to be </w:t>
      </w:r>
      <w:r w:rsidR="005B74C0">
        <w:rPr>
          <w:b/>
          <w:lang w:val="en-US" w:eastAsia="zh-CN"/>
        </w:rPr>
        <w:t>limited</w:t>
      </w:r>
      <w:r w:rsidRPr="00A84E86">
        <w:rPr>
          <w:b/>
          <w:lang w:val="en-US" w:eastAsia="zh-CN"/>
        </w:rPr>
        <w:t>.</w:t>
      </w:r>
    </w:p>
    <w:bookmarkEnd w:id="4"/>
    <w:p w14:paraId="56864E75" w14:textId="77777777" w:rsidR="00211EAF" w:rsidRDefault="001A10DB" w:rsidP="00211EAF">
      <w:pPr>
        <w:pStyle w:val="2"/>
        <w:spacing w:after="240"/>
        <w:rPr>
          <w:lang w:val="en-US" w:eastAsia="zh-CN"/>
        </w:rPr>
      </w:pPr>
      <w:r w:rsidRPr="001A10DB">
        <w:rPr>
          <w:lang w:val="en-US" w:eastAsia="zh-CN"/>
        </w:rPr>
        <w:t>PC1.5 with 2Tx for FDD bands for handheld and FWA UE</w:t>
      </w:r>
    </w:p>
    <w:p w14:paraId="797CC6E0" w14:textId="77777777" w:rsidR="003257C7" w:rsidRPr="003257C7" w:rsidRDefault="003257C7" w:rsidP="003257C7">
      <w:pPr>
        <w:rPr>
          <w:lang w:val="en-US" w:eastAsia="zh-CN"/>
        </w:rPr>
      </w:pPr>
      <w:r>
        <w:rPr>
          <w:lang w:val="en-US" w:eastAsia="zh-CN"/>
        </w:rPr>
        <w:t xml:space="preserve">Another aspect of HPUE for NR single carrier operation is to specify UE RF requirements for PC1.5 with 2Tx for FDD bands for handheld and FWA UE. The related objectives were captured as </w:t>
      </w:r>
      <w:r w:rsidR="00E814B6">
        <w:rPr>
          <w:lang w:val="en-US" w:eastAsia="zh-CN"/>
        </w:rPr>
        <w:t>follows:</w:t>
      </w:r>
    </w:p>
    <w:tbl>
      <w:tblPr>
        <w:tblStyle w:val="aff0"/>
        <w:tblW w:w="0" w:type="auto"/>
        <w:tblLook w:val="04A0" w:firstRow="1" w:lastRow="0" w:firstColumn="1" w:lastColumn="0" w:noHBand="0" w:noVBand="1"/>
      </w:tblPr>
      <w:tblGrid>
        <w:gridCol w:w="9631"/>
      </w:tblGrid>
      <w:tr w:rsidR="009A09D2" w14:paraId="73EF7FC7" w14:textId="77777777" w:rsidTr="009A09D2">
        <w:tc>
          <w:tcPr>
            <w:tcW w:w="9631" w:type="dxa"/>
          </w:tcPr>
          <w:p w14:paraId="42E6808D" w14:textId="77777777" w:rsidR="009A09D2" w:rsidRPr="009A09D2" w:rsidRDefault="009A09D2" w:rsidP="009A09D2">
            <w:pPr>
              <w:numPr>
                <w:ilvl w:val="0"/>
                <w:numId w:val="24"/>
              </w:numPr>
              <w:rPr>
                <w:lang w:val="en-US" w:eastAsia="zh-CN"/>
              </w:rPr>
            </w:pPr>
            <w:r w:rsidRPr="009A09D2">
              <w:rPr>
                <w:lang w:val="en-US" w:eastAsia="zh-CN"/>
              </w:rPr>
              <w:t>PC1.5 with 2Tx for FDD bands for handheld and FWA UE</w:t>
            </w:r>
          </w:p>
          <w:p w14:paraId="1FDE80C2" w14:textId="77777777" w:rsidR="009A09D2" w:rsidRPr="009A09D2" w:rsidRDefault="009A09D2" w:rsidP="009A09D2">
            <w:pPr>
              <w:numPr>
                <w:ilvl w:val="1"/>
                <w:numId w:val="24"/>
              </w:numPr>
              <w:rPr>
                <w:lang w:val="en-US" w:eastAsia="zh-CN"/>
              </w:rPr>
            </w:pPr>
            <w:r w:rsidRPr="009A09D2">
              <w:rPr>
                <w:lang w:val="en-US" w:eastAsia="zh-CN"/>
              </w:rPr>
              <w:t>Specify the UE RF requirements including maximum output power (MOP), MPR requirements, etc.</w:t>
            </w:r>
          </w:p>
          <w:p w14:paraId="35FE5CA8" w14:textId="77777777" w:rsidR="009A09D2" w:rsidRPr="009A09D2" w:rsidRDefault="009A09D2" w:rsidP="009A09D2">
            <w:pPr>
              <w:numPr>
                <w:ilvl w:val="2"/>
                <w:numId w:val="24"/>
              </w:numPr>
              <w:rPr>
                <w:lang w:val="en-US" w:eastAsia="zh-CN"/>
              </w:rPr>
            </w:pPr>
            <w:r w:rsidRPr="009A09D2">
              <w:rPr>
                <w:lang w:val="en-US" w:eastAsia="zh-CN"/>
              </w:rPr>
              <w:t xml:space="preserve">Supporting 2x2 UL MIMO and </w:t>
            </w:r>
            <w:proofErr w:type="spellStart"/>
            <w:r w:rsidRPr="009A09D2">
              <w:rPr>
                <w:lang w:val="en-US" w:eastAsia="zh-CN"/>
              </w:rPr>
              <w:t>TxD</w:t>
            </w:r>
            <w:proofErr w:type="spellEnd"/>
          </w:p>
          <w:p w14:paraId="7A356C20" w14:textId="77777777" w:rsidR="009A09D2" w:rsidRPr="009A09D2" w:rsidRDefault="009A09D2" w:rsidP="009A09D2">
            <w:pPr>
              <w:numPr>
                <w:ilvl w:val="2"/>
                <w:numId w:val="24"/>
              </w:numPr>
              <w:rPr>
                <w:lang w:val="en-US" w:eastAsia="zh-CN"/>
              </w:rPr>
            </w:pPr>
            <w:r w:rsidRPr="009A09D2">
              <w:rPr>
                <w:lang w:val="en-US" w:eastAsia="zh-CN"/>
              </w:rPr>
              <w:t>Baseline PA configuration: 2 x 26 dBm</w:t>
            </w:r>
          </w:p>
          <w:p w14:paraId="6E81F252" w14:textId="77777777" w:rsidR="009A09D2" w:rsidRPr="009A09D2" w:rsidRDefault="009A09D2" w:rsidP="009A09D2">
            <w:pPr>
              <w:numPr>
                <w:ilvl w:val="1"/>
                <w:numId w:val="24"/>
              </w:numPr>
              <w:rPr>
                <w:lang w:val="en-US" w:eastAsia="zh-CN"/>
              </w:rPr>
            </w:pPr>
            <w:r w:rsidRPr="009A09D2">
              <w:rPr>
                <w:lang w:val="en-US" w:eastAsia="zh-CN"/>
              </w:rPr>
              <w:t>Specify the band specific requirements for exemplary bands</w:t>
            </w:r>
          </w:p>
          <w:p w14:paraId="0A3A26CF" w14:textId="77777777" w:rsidR="009A09D2" w:rsidRPr="009A09D2" w:rsidRDefault="009A09D2" w:rsidP="001A10DB">
            <w:pPr>
              <w:numPr>
                <w:ilvl w:val="1"/>
                <w:numId w:val="24"/>
              </w:numPr>
              <w:rPr>
                <w:lang w:val="en-US" w:eastAsia="zh-CN"/>
              </w:rPr>
            </w:pPr>
            <w:r w:rsidRPr="009A09D2">
              <w:rPr>
                <w:lang w:val="en-US" w:eastAsia="zh-CN"/>
              </w:rPr>
              <w:t>Example bands: n1, n25</w:t>
            </w:r>
          </w:p>
        </w:tc>
      </w:tr>
    </w:tbl>
    <w:p w14:paraId="4605F86B" w14:textId="77777777" w:rsidR="00B8013F" w:rsidRDefault="00B8013F" w:rsidP="00AE4489">
      <w:pPr>
        <w:rPr>
          <w:lang w:val="en-US" w:eastAsia="zh-CN"/>
        </w:rPr>
      </w:pPr>
    </w:p>
    <w:p w14:paraId="6E17F5EA" w14:textId="77777777" w:rsidR="007A6C77" w:rsidRDefault="00B8013F" w:rsidP="00B8013F">
      <w:pPr>
        <w:jc w:val="both"/>
        <w:rPr>
          <w:lang w:val="en-US" w:eastAsia="zh-CN"/>
        </w:rPr>
      </w:pPr>
      <w:r w:rsidRPr="00B8013F">
        <w:rPr>
          <w:lang w:val="en-US" w:eastAsia="zh-CN"/>
        </w:rPr>
        <w:t xml:space="preserve">RAN4 already specified PC2 for FDD band in Rel-18. Besides adding higher </w:t>
      </w:r>
      <w:r w:rsidRPr="00B8013F">
        <w:rPr>
          <w:rFonts w:eastAsiaTheme="minorEastAsia"/>
          <w:lang w:val="en-US" w:eastAsia="zh-CN"/>
        </w:rPr>
        <w:t>power</w:t>
      </w:r>
      <w:r w:rsidRPr="00B8013F">
        <w:rPr>
          <w:lang w:val="en-US" w:eastAsia="zh-CN"/>
        </w:rPr>
        <w:t xml:space="preserve"> class for FDD band, other RF requirements can refer to </w:t>
      </w:r>
      <w:r w:rsidRPr="00B8013F">
        <w:rPr>
          <w:rFonts w:eastAsiaTheme="minorEastAsia"/>
          <w:lang w:val="en-US" w:eastAsia="zh-CN"/>
        </w:rPr>
        <w:t>TDD</w:t>
      </w:r>
      <w:r w:rsidRPr="00B8013F">
        <w:rPr>
          <w:lang w:val="en-US" w:eastAsia="zh-CN"/>
        </w:rPr>
        <w:t xml:space="preserve"> HPUE requirements.</w:t>
      </w:r>
      <w:r>
        <w:rPr>
          <w:lang w:val="en-US" w:eastAsia="zh-CN"/>
        </w:rPr>
        <w:t xml:space="preserve"> For above PC1.5 with 2Tx for FDD bands for handheld and FWA UE, we didn’t expect many technical issues for supporting this HPUE for FDD bands. </w:t>
      </w:r>
      <w:r w:rsidRPr="00B8013F">
        <w:rPr>
          <w:lang w:val="en-US" w:eastAsia="zh-CN"/>
        </w:rPr>
        <w:t>Requirements for PC1.5 with 2Tx for TDD bands can be used as a starting point for PC1.5 with 2Tx for FDD bands for handheld and FWA UE.</w:t>
      </w:r>
    </w:p>
    <w:p w14:paraId="2841F211" w14:textId="77777777" w:rsidR="00DB75B6" w:rsidRPr="00B8013F" w:rsidRDefault="00AE4489" w:rsidP="00E106E5">
      <w:pPr>
        <w:rPr>
          <w:b/>
          <w:lang w:val="en-US" w:eastAsia="zh-CN"/>
        </w:rPr>
      </w:pPr>
      <w:bookmarkStart w:id="5" w:name="_GoBack"/>
      <w:r w:rsidRPr="00110BC1">
        <w:rPr>
          <w:rFonts w:asciiTheme="minorEastAsia" w:eastAsiaTheme="minorEastAsia" w:hAnsiTheme="minorEastAsia" w:hint="eastAsia"/>
          <w:b/>
          <w:lang w:val="en-US" w:eastAsia="zh-CN"/>
        </w:rPr>
        <w:t>P</w:t>
      </w:r>
      <w:r w:rsidRPr="00110BC1">
        <w:rPr>
          <w:b/>
          <w:lang w:val="en-US" w:eastAsia="zh-CN"/>
        </w:rPr>
        <w:t>roposal</w:t>
      </w:r>
      <w:r w:rsidR="00B3792B">
        <w:rPr>
          <w:b/>
          <w:lang w:val="en-US" w:eastAsia="zh-CN"/>
        </w:rPr>
        <w:t xml:space="preserve"> 3</w:t>
      </w:r>
      <w:r w:rsidRPr="00110BC1">
        <w:rPr>
          <w:b/>
          <w:lang w:val="en-US" w:eastAsia="zh-CN"/>
        </w:rPr>
        <w:t>: Requirements for PC1.5 with 2Tx for TDD bands can be used as a starting point for PC1.5 with 2</w:t>
      </w:r>
      <w:r w:rsidRPr="00110BC1">
        <w:rPr>
          <w:rFonts w:asciiTheme="minorEastAsia" w:eastAsiaTheme="minorEastAsia" w:hAnsiTheme="minorEastAsia" w:hint="eastAsia"/>
          <w:b/>
          <w:lang w:val="en-US" w:eastAsia="zh-CN"/>
        </w:rPr>
        <w:t>Tx</w:t>
      </w:r>
      <w:r w:rsidRPr="00110BC1">
        <w:rPr>
          <w:b/>
          <w:lang w:val="en-US" w:eastAsia="zh-CN"/>
        </w:rPr>
        <w:t xml:space="preserve"> for FDD bands for handheld and FWA UE.</w:t>
      </w:r>
      <w:bookmarkEnd w:id="5"/>
    </w:p>
    <w:p w14:paraId="04F04AE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17703EC"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B3792B">
        <w:rPr>
          <w:rFonts w:eastAsia="宋体"/>
          <w:lang w:eastAsia="zh-CN"/>
        </w:rPr>
        <w:t>provides our initial views on</w:t>
      </w:r>
      <w:r>
        <w:rPr>
          <w:rFonts w:eastAsia="宋体"/>
          <w:lang w:eastAsia="zh-CN"/>
        </w:rPr>
        <w:t xml:space="preserve"> </w:t>
      </w:r>
      <w:r w:rsidR="00B3792B">
        <w:rPr>
          <w:rFonts w:eastAsia="宋体"/>
          <w:lang w:eastAsia="zh-CN"/>
        </w:rPr>
        <w:t>HPUE requirements</w:t>
      </w:r>
      <w:r w:rsidR="00697375" w:rsidRPr="00697375">
        <w:rPr>
          <w:rFonts w:eastAsia="宋体"/>
          <w:lang w:eastAsia="zh-CN"/>
        </w:rPr>
        <w:t xml:space="preserve"> for </w:t>
      </w:r>
      <w:r w:rsidR="00B3792B">
        <w:rPr>
          <w:rFonts w:eastAsia="宋体"/>
          <w:lang w:eastAsia="zh-CN"/>
        </w:rPr>
        <w:t>NR single carrier operation</w:t>
      </w:r>
      <w:r w:rsidR="00925858">
        <w:rPr>
          <w:rFonts w:eastAsia="宋体"/>
          <w:lang w:eastAsia="zh-CN"/>
        </w:rPr>
        <w:t>. The following observations and proposals are made:</w:t>
      </w:r>
    </w:p>
    <w:p w14:paraId="1DDE3374" w14:textId="77777777" w:rsidR="00B3792B" w:rsidRDefault="00B3792B" w:rsidP="00B3792B">
      <w:pPr>
        <w:rPr>
          <w:b/>
          <w:lang w:eastAsia="zh-CN"/>
        </w:rPr>
      </w:pPr>
      <w:r w:rsidRPr="00B3792B">
        <w:rPr>
          <w:b/>
          <w:lang w:eastAsia="zh-CN"/>
        </w:rPr>
        <w:t>Proposal 1: It is suggested to reuse PC1 with or without general power boosting scheme to achieve up to 32 dBm in Rel-20.</w:t>
      </w:r>
    </w:p>
    <w:p w14:paraId="70689DE3" w14:textId="77777777" w:rsidR="00B3792B" w:rsidRPr="009320C5" w:rsidRDefault="00B3792B" w:rsidP="00B3792B">
      <w:pPr>
        <w:rPr>
          <w:rFonts w:eastAsia="宋体"/>
          <w:b/>
          <w:lang w:eastAsia="zh-CN"/>
        </w:rPr>
      </w:pPr>
      <w:r w:rsidRPr="009320C5">
        <w:rPr>
          <w:b/>
          <w:lang w:eastAsia="zh-CN"/>
        </w:rPr>
        <w:t>Observation</w:t>
      </w:r>
      <w:r>
        <w:rPr>
          <w:b/>
          <w:lang w:eastAsia="zh-CN"/>
        </w:rPr>
        <w:t xml:space="preserve"> 1</w:t>
      </w:r>
      <w:r w:rsidRPr="009320C5">
        <w:rPr>
          <w:b/>
          <w:lang w:eastAsia="zh-CN"/>
        </w:rPr>
        <w:t xml:space="preserve">: </w:t>
      </w:r>
      <w:r w:rsidRPr="009320C5">
        <w:rPr>
          <w:rFonts w:eastAsiaTheme="minorEastAsia"/>
          <w:b/>
          <w:lang w:eastAsia="zh-CN"/>
        </w:rPr>
        <w:t xml:space="preserve">Currently, in TS 38.101-1, the MPR requirements are based on one PC1 PA linearity, which are not suitable for 4Tx 32dBm case. </w:t>
      </w:r>
    </w:p>
    <w:p w14:paraId="787E08DE" w14:textId="77777777" w:rsidR="000768CB" w:rsidRPr="00B3792B" w:rsidRDefault="00B3792B" w:rsidP="000768CB">
      <w:pPr>
        <w:rPr>
          <w:b/>
          <w:lang w:val="en-US" w:eastAsia="zh-CN"/>
        </w:rPr>
      </w:pPr>
      <w:r>
        <w:rPr>
          <w:b/>
          <w:lang w:val="en-US" w:eastAsia="zh-CN"/>
        </w:rPr>
        <w:t>Proposal 2: It is suggested to re-evaluate MPR for PC1 with 4Tx for FWA UE.</w:t>
      </w:r>
    </w:p>
    <w:p w14:paraId="204D521F" w14:textId="77777777" w:rsidR="005B74C0" w:rsidRPr="005B74C0" w:rsidRDefault="005B74C0" w:rsidP="005B74C0">
      <w:pPr>
        <w:jc w:val="both"/>
        <w:rPr>
          <w:b/>
          <w:lang w:val="en-US" w:eastAsia="zh-CN"/>
        </w:rPr>
      </w:pPr>
      <w:r w:rsidRPr="005B74C0">
        <w:rPr>
          <w:b/>
          <w:lang w:val="en-US" w:eastAsia="zh-CN"/>
        </w:rPr>
        <w:t>Observation 2. Leveraging the substantial experience gained from specifying 4Tx MIMO&amp;TxD for PC1.5 in Rel-18, the standardization effort required to define 4Tx MIMO&amp;TxD for PC1 in Rel-20 is expected to be limited.</w:t>
      </w:r>
    </w:p>
    <w:p w14:paraId="78E1EE13" w14:textId="77777777" w:rsidR="000768CB" w:rsidRPr="00B3792B" w:rsidRDefault="00B3792B" w:rsidP="00B36F8F">
      <w:pPr>
        <w:rPr>
          <w:b/>
          <w:lang w:val="en-US" w:eastAsia="zh-CN"/>
        </w:rPr>
      </w:pPr>
      <w:r w:rsidRPr="00110BC1">
        <w:rPr>
          <w:rFonts w:asciiTheme="minorEastAsia" w:eastAsiaTheme="minorEastAsia" w:hAnsiTheme="minorEastAsia" w:hint="eastAsia"/>
          <w:b/>
          <w:lang w:val="en-US" w:eastAsia="zh-CN"/>
        </w:rPr>
        <w:t>P</w:t>
      </w:r>
      <w:r w:rsidRPr="00110BC1">
        <w:rPr>
          <w:b/>
          <w:lang w:val="en-US" w:eastAsia="zh-CN"/>
        </w:rPr>
        <w:t>roposal</w:t>
      </w:r>
      <w:r>
        <w:rPr>
          <w:b/>
          <w:lang w:val="en-US" w:eastAsia="zh-CN"/>
        </w:rPr>
        <w:t xml:space="preserve"> 3</w:t>
      </w:r>
      <w:r w:rsidRPr="00110BC1">
        <w:rPr>
          <w:b/>
          <w:lang w:val="en-US" w:eastAsia="zh-CN"/>
        </w:rPr>
        <w:t>: Requirements for PC1.5 with 2Tx for TDD bands can be used as a starting point for PC1.5 with 2</w:t>
      </w:r>
      <w:r w:rsidRPr="00110BC1">
        <w:rPr>
          <w:rFonts w:asciiTheme="minorEastAsia" w:eastAsiaTheme="minorEastAsia" w:hAnsiTheme="minorEastAsia" w:hint="eastAsia"/>
          <w:b/>
          <w:lang w:val="en-US" w:eastAsia="zh-CN"/>
        </w:rPr>
        <w:t>Tx</w:t>
      </w:r>
      <w:r w:rsidRPr="00110BC1">
        <w:rPr>
          <w:b/>
          <w:lang w:val="en-US" w:eastAsia="zh-CN"/>
        </w:rPr>
        <w:t xml:space="preserve"> for FDD bands for handheld and FWA UE.</w:t>
      </w:r>
    </w:p>
    <w:p w14:paraId="0E7754BA" w14:textId="77777777" w:rsidR="00F10F97" w:rsidRDefault="00F10F97" w:rsidP="00F10F97">
      <w:pPr>
        <w:pStyle w:val="1"/>
        <w:numPr>
          <w:ilvl w:val="0"/>
          <w:numId w:val="0"/>
        </w:numPr>
        <w:rPr>
          <w:rFonts w:eastAsia="宋体"/>
          <w:lang w:eastAsia="zh-CN"/>
        </w:rPr>
      </w:pPr>
      <w:r>
        <w:lastRenderedPageBreak/>
        <w:t>References</w:t>
      </w:r>
    </w:p>
    <w:p w14:paraId="12FA26EF" w14:textId="77777777" w:rsidR="00070A5B" w:rsidRDefault="00056FBF" w:rsidP="0031461D">
      <w:pPr>
        <w:rPr>
          <w:rFonts w:eastAsia="等线"/>
        </w:rPr>
      </w:pPr>
      <w:r>
        <w:t>[1]</w:t>
      </w:r>
      <w:r w:rsidR="0014440F" w:rsidRPr="0014440F">
        <w:rPr>
          <w:rFonts w:eastAsia="等线"/>
        </w:rPr>
        <w:t xml:space="preserve"> </w:t>
      </w:r>
      <w:r w:rsidR="001A10DB" w:rsidRPr="001A10DB">
        <w:rPr>
          <w:rFonts w:eastAsia="等线"/>
        </w:rPr>
        <w:t>RP</w:t>
      </w:r>
      <w:r w:rsidR="009957C0">
        <w:rPr>
          <w:rFonts w:eastAsia="等线"/>
        </w:rPr>
        <w:t>-</w:t>
      </w:r>
      <w:r w:rsidR="001A10DB" w:rsidRPr="001A10DB">
        <w:rPr>
          <w:rFonts w:eastAsia="等线"/>
        </w:rPr>
        <w:t>252952</w:t>
      </w:r>
      <w:r w:rsidR="001A10DB">
        <w:rPr>
          <w:rFonts w:eastAsia="等线" w:hint="eastAsia"/>
          <w:lang w:eastAsia="zh-CN"/>
        </w:rPr>
        <w:t>,</w:t>
      </w:r>
      <w:r w:rsidR="001A10DB">
        <w:rPr>
          <w:rFonts w:eastAsia="等线"/>
          <w:lang w:eastAsia="zh-CN"/>
        </w:rPr>
        <w:t xml:space="preserve"> </w:t>
      </w:r>
      <w:r w:rsidR="001A10DB" w:rsidRPr="001A10DB">
        <w:rPr>
          <w:rFonts w:eastAsia="等线"/>
        </w:rPr>
        <w:t>New WID: UE RF enhancements for NR FR1, Phase 5</w:t>
      </w:r>
      <w:r w:rsidR="001A10DB">
        <w:rPr>
          <w:rFonts w:eastAsia="等线"/>
        </w:rPr>
        <w:t>, RAN#109.</w:t>
      </w:r>
    </w:p>
    <w:p w14:paraId="21B45D9E" w14:textId="77777777" w:rsidR="005B3026" w:rsidRPr="00BF16C6" w:rsidRDefault="005B3026" w:rsidP="0031461D">
      <w:pPr>
        <w:rPr>
          <w:rFonts w:eastAsia="等线"/>
        </w:rPr>
      </w:pPr>
      <w:r>
        <w:rPr>
          <w:rFonts w:eastAsia="等线"/>
        </w:rPr>
        <w:t xml:space="preserve">[2] </w:t>
      </w:r>
      <w:r w:rsidRPr="005B3026">
        <w:rPr>
          <w:rFonts w:eastAsia="等线"/>
        </w:rPr>
        <w:t>RP-210190</w:t>
      </w:r>
      <w:r>
        <w:rPr>
          <w:rFonts w:eastAsia="等线"/>
        </w:rPr>
        <w:t xml:space="preserve">, </w:t>
      </w:r>
      <w:r w:rsidR="00534A61" w:rsidRPr="00534A61">
        <w:rPr>
          <w:rFonts w:eastAsia="等线"/>
        </w:rPr>
        <w:t>PC1 and PC3 Updates for Band n14, AT&amp;T, RAN#91.</w:t>
      </w:r>
    </w:p>
    <w:sectPr w:rsidR="005B3026"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84F80" w16cex:dateUtc="2025-10-01T17:10:00Z"/>
  <w16cex:commentExtensible w16cex:durableId="2C884BF8" w16cex:dateUtc="2025-10-01T16:55:00Z"/>
  <w16cex:commentExtensible w16cex:durableId="2C884FFB" w16cex:dateUtc="2025-10-01T1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00F67" w14:textId="77777777" w:rsidR="00E34B80" w:rsidRDefault="00E34B80">
      <w:r>
        <w:separator/>
      </w:r>
    </w:p>
  </w:endnote>
  <w:endnote w:type="continuationSeparator" w:id="0">
    <w:p w14:paraId="1FAAE7BB" w14:textId="77777777" w:rsidR="00E34B80" w:rsidRDefault="00E3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2BCD810"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1B9A35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90CFD" w14:textId="77777777" w:rsidR="00E34B80" w:rsidRDefault="00E34B80">
      <w:r>
        <w:separator/>
      </w:r>
    </w:p>
  </w:footnote>
  <w:footnote w:type="continuationSeparator" w:id="0">
    <w:p w14:paraId="6B50E2C1" w14:textId="77777777" w:rsidR="00E34B80" w:rsidRDefault="00E3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43D01"/>
    <w:multiLevelType w:val="hybridMultilevel"/>
    <w:tmpl w:val="2E82B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C2138D"/>
    <w:multiLevelType w:val="hybridMultilevel"/>
    <w:tmpl w:val="8AB2483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4"/>
  </w:num>
  <w:num w:numId="4">
    <w:abstractNumId w:val="25"/>
  </w:num>
  <w:num w:numId="5">
    <w:abstractNumId w:val="11"/>
  </w:num>
  <w:num w:numId="6">
    <w:abstractNumId w:val="5"/>
  </w:num>
  <w:num w:numId="7">
    <w:abstractNumId w:val="15"/>
  </w:num>
  <w:num w:numId="8">
    <w:abstractNumId w:val="9"/>
  </w:num>
  <w:num w:numId="9">
    <w:abstractNumId w:val="21"/>
  </w:num>
  <w:num w:numId="10">
    <w:abstractNumId w:val="0"/>
  </w:num>
  <w:num w:numId="11">
    <w:abstractNumId w:val="2"/>
  </w:num>
  <w:num w:numId="12">
    <w:abstractNumId w:val="22"/>
  </w:num>
  <w:num w:numId="13">
    <w:abstractNumId w:val="10"/>
  </w:num>
  <w:num w:numId="14">
    <w:abstractNumId w:val="18"/>
  </w:num>
  <w:num w:numId="15">
    <w:abstractNumId w:val="17"/>
  </w:num>
  <w:num w:numId="16">
    <w:abstractNumId w:val="19"/>
  </w:num>
  <w:num w:numId="17">
    <w:abstractNumId w:val="15"/>
  </w:num>
  <w:num w:numId="18">
    <w:abstractNumId w:val="1"/>
  </w:num>
  <w:num w:numId="19">
    <w:abstractNumId w:val="4"/>
  </w:num>
  <w:num w:numId="20">
    <w:abstractNumId w:val="24"/>
  </w:num>
  <w:num w:numId="21">
    <w:abstractNumId w:val="7"/>
  </w:num>
  <w:num w:numId="22">
    <w:abstractNumId w:val="12"/>
  </w:num>
  <w:num w:numId="23">
    <w:abstractNumId w:val="20"/>
  </w:num>
  <w:num w:numId="24">
    <w:abstractNumId w:val="3"/>
  </w:num>
  <w:num w:numId="25">
    <w:abstractNumId w:val="23"/>
  </w:num>
  <w:num w:numId="26">
    <w:abstractNumId w:val="8"/>
  </w:num>
  <w:num w:numId="2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D93"/>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A5B"/>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5F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7CD"/>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BC1"/>
    <w:rsid w:val="00111828"/>
    <w:rsid w:val="0011274D"/>
    <w:rsid w:val="0011282B"/>
    <w:rsid w:val="00112D66"/>
    <w:rsid w:val="00112DDC"/>
    <w:rsid w:val="00114764"/>
    <w:rsid w:val="00115045"/>
    <w:rsid w:val="0011565D"/>
    <w:rsid w:val="00115671"/>
    <w:rsid w:val="00115870"/>
    <w:rsid w:val="00115A4E"/>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5F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3B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3BA0"/>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3FC"/>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112"/>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1BB"/>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244"/>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1D"/>
    <w:rsid w:val="00315554"/>
    <w:rsid w:val="003157EA"/>
    <w:rsid w:val="0031609C"/>
    <w:rsid w:val="003160CD"/>
    <w:rsid w:val="00316758"/>
    <w:rsid w:val="00316B27"/>
    <w:rsid w:val="00316D22"/>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57C7"/>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6B"/>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87D0D"/>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651"/>
    <w:rsid w:val="003C3A38"/>
    <w:rsid w:val="003C3CAE"/>
    <w:rsid w:val="003C4634"/>
    <w:rsid w:val="003C5908"/>
    <w:rsid w:val="003C5C76"/>
    <w:rsid w:val="003C5F59"/>
    <w:rsid w:val="003C6879"/>
    <w:rsid w:val="003C6E8A"/>
    <w:rsid w:val="003C7437"/>
    <w:rsid w:val="003C747A"/>
    <w:rsid w:val="003C7B9D"/>
    <w:rsid w:val="003D01D9"/>
    <w:rsid w:val="003D053E"/>
    <w:rsid w:val="003D072B"/>
    <w:rsid w:val="003D0774"/>
    <w:rsid w:val="003D11FD"/>
    <w:rsid w:val="003D146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66D"/>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33F"/>
    <w:rsid w:val="004A3533"/>
    <w:rsid w:val="004A3883"/>
    <w:rsid w:val="004A5793"/>
    <w:rsid w:val="004A62D4"/>
    <w:rsid w:val="004A6954"/>
    <w:rsid w:val="004A69EE"/>
    <w:rsid w:val="004A7295"/>
    <w:rsid w:val="004A72C0"/>
    <w:rsid w:val="004A79C4"/>
    <w:rsid w:val="004A7CCF"/>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41C"/>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B27"/>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4A61"/>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A6BC5"/>
    <w:rsid w:val="005B05C2"/>
    <w:rsid w:val="005B0FD6"/>
    <w:rsid w:val="005B15C2"/>
    <w:rsid w:val="005B1CB0"/>
    <w:rsid w:val="005B25EB"/>
    <w:rsid w:val="005B3026"/>
    <w:rsid w:val="005B3056"/>
    <w:rsid w:val="005B3177"/>
    <w:rsid w:val="005B3608"/>
    <w:rsid w:val="005B3D2B"/>
    <w:rsid w:val="005B49EE"/>
    <w:rsid w:val="005B49FF"/>
    <w:rsid w:val="005B622A"/>
    <w:rsid w:val="005B6C6F"/>
    <w:rsid w:val="005B6D12"/>
    <w:rsid w:val="005B6F0C"/>
    <w:rsid w:val="005B6F7D"/>
    <w:rsid w:val="005B7063"/>
    <w:rsid w:val="005B74C0"/>
    <w:rsid w:val="005B7577"/>
    <w:rsid w:val="005B7CF7"/>
    <w:rsid w:val="005B7FE3"/>
    <w:rsid w:val="005C0023"/>
    <w:rsid w:val="005C01B0"/>
    <w:rsid w:val="005C0348"/>
    <w:rsid w:val="005C0ACD"/>
    <w:rsid w:val="005C0C24"/>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35"/>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698"/>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8E"/>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222"/>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6F42"/>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77"/>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37E01"/>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2D27"/>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79A"/>
    <w:rsid w:val="00893D09"/>
    <w:rsid w:val="0089459B"/>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D7D9E"/>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2C4"/>
    <w:rsid w:val="008E53DF"/>
    <w:rsid w:val="008E5669"/>
    <w:rsid w:val="008E5A0F"/>
    <w:rsid w:val="008E5D59"/>
    <w:rsid w:val="008E6512"/>
    <w:rsid w:val="008E6D6C"/>
    <w:rsid w:val="008E6EF3"/>
    <w:rsid w:val="008E7968"/>
    <w:rsid w:val="008E7B19"/>
    <w:rsid w:val="008F00AF"/>
    <w:rsid w:val="008F023A"/>
    <w:rsid w:val="008F0A5F"/>
    <w:rsid w:val="008F10BE"/>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0C5"/>
    <w:rsid w:val="0093258C"/>
    <w:rsid w:val="009336D3"/>
    <w:rsid w:val="0093394F"/>
    <w:rsid w:val="00933A2D"/>
    <w:rsid w:val="00934729"/>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7C0"/>
    <w:rsid w:val="009961C4"/>
    <w:rsid w:val="009966B1"/>
    <w:rsid w:val="00996785"/>
    <w:rsid w:val="00996A33"/>
    <w:rsid w:val="00997267"/>
    <w:rsid w:val="00997DDC"/>
    <w:rsid w:val="00997E8B"/>
    <w:rsid w:val="009A0322"/>
    <w:rsid w:val="009A08C9"/>
    <w:rsid w:val="009A09D2"/>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1EB"/>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D7E59"/>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BD"/>
    <w:rsid w:val="00A2482D"/>
    <w:rsid w:val="00A24C79"/>
    <w:rsid w:val="00A24F4F"/>
    <w:rsid w:val="00A25824"/>
    <w:rsid w:val="00A2588A"/>
    <w:rsid w:val="00A26164"/>
    <w:rsid w:val="00A2629A"/>
    <w:rsid w:val="00A2647A"/>
    <w:rsid w:val="00A27962"/>
    <w:rsid w:val="00A31666"/>
    <w:rsid w:val="00A31D94"/>
    <w:rsid w:val="00A329E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E86"/>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47E"/>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7CB"/>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978"/>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489"/>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92B"/>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567"/>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13F"/>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1AB"/>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19B"/>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6B63"/>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A36"/>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5A00"/>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4DAF"/>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80"/>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4B6"/>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EDA"/>
    <w:rsid w:val="00FD2727"/>
    <w:rsid w:val="00FD326E"/>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3720B"/>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uiPriority w:val="34"/>
    <w:qFormat/>
    <w:rsid w:val="00913040"/>
    <w:pPr>
      <w:ind w:left="720"/>
      <w:contextualSpacing/>
    </w:pPr>
  </w:style>
  <w:style w:type="paragraph" w:customStyle="1" w:styleId="TB2">
    <w:name w:val="TB2"/>
    <w:basedOn w:val="a1"/>
    <w:qFormat/>
    <w:rsid w:val="005C0C24"/>
    <w:pPr>
      <w:keepNext/>
      <w:keepLines/>
      <w:numPr>
        <w:numId w:val="2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14">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34232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5375697">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F636F-3327-491F-8E9C-8687AEAD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4</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14</cp:revision>
  <cp:lastPrinted>2010-01-07T02:23:00Z</cp:lastPrinted>
  <dcterms:created xsi:type="dcterms:W3CDTF">2025-10-01T17:10:00Z</dcterms:created>
  <dcterms:modified xsi:type="dcterms:W3CDTF">2025-10-02T11:02:00Z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